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27F5E" w14:textId="3CA261C8" w:rsidR="00D62DF2" w:rsidRPr="00D62DF2" w:rsidRDefault="00D62DF2" w:rsidP="00D62DF2">
      <w:pPr>
        <w:shd w:val="clear" w:color="auto" w:fill="FFFFFF" w:themeFill="background1"/>
        <w:spacing w:after="0" w:line="240" w:lineRule="auto"/>
        <w:rPr>
          <w:rFonts w:ascii="Times New Roman" w:hAnsi="Times New Roman" w:cs="Times New Roman"/>
        </w:rPr>
      </w:pPr>
      <w:proofErr w:type="spellStart"/>
      <w:r w:rsidRPr="00D62DF2">
        <w:rPr>
          <w:rFonts w:ascii="Times New Roman" w:hAnsi="Times New Roman" w:cs="Times New Roman"/>
        </w:rPr>
        <w:t>Bosir</w:t>
      </w:r>
      <w:proofErr w:type="spellEnd"/>
      <w:r w:rsidRPr="00D62DF2">
        <w:rPr>
          <w:rFonts w:ascii="Times New Roman" w:hAnsi="Times New Roman" w:cs="Times New Roman"/>
        </w:rPr>
        <w:t>, 2026, Vol. 3, 01-</w:t>
      </w:r>
      <w:r w:rsidR="00733425">
        <w:rPr>
          <w:rFonts w:ascii="Times New Roman" w:hAnsi="Times New Roman" w:cs="Times New Roman"/>
        </w:rPr>
        <w:t>08</w:t>
      </w:r>
      <w:r w:rsidRPr="00D62DF2">
        <w:rPr>
          <w:rFonts w:ascii="Times New Roman" w:hAnsi="Times New Roman" w:cs="Times New Roman"/>
        </w:rPr>
        <w:t xml:space="preserve"> </w:t>
      </w:r>
    </w:p>
    <w:p w14:paraId="190EE753" w14:textId="77777777" w:rsidR="00D62DF2" w:rsidRDefault="00D62DF2" w:rsidP="00B3544F">
      <w:pPr>
        <w:shd w:val="clear" w:color="auto" w:fill="FFFFFF" w:themeFill="background1"/>
        <w:spacing w:after="0" w:line="240" w:lineRule="auto"/>
        <w:jc w:val="center"/>
        <w:rPr>
          <w:rFonts w:ascii="Times New Roman" w:eastAsia="Times New Roman" w:hAnsi="Times New Roman" w:cs="Times New Roman"/>
          <w:b/>
          <w:bCs/>
          <w:color w:val="000000" w:themeColor="text1"/>
          <w:sz w:val="24"/>
          <w:szCs w:val="24"/>
          <w:lang w:val="pt-BR" w:eastAsia="pt-BR"/>
        </w:rPr>
      </w:pPr>
    </w:p>
    <w:p w14:paraId="54B48A42" w14:textId="201D2486" w:rsidR="00B3544F" w:rsidRPr="006F30BF" w:rsidRDefault="00B3544F" w:rsidP="00B3544F">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lang w:val="pt-BR" w:eastAsia="pt-BR"/>
        </w:rPr>
      </w:pPr>
      <w:bookmarkStart w:id="0" w:name="_GoBack"/>
      <w:r w:rsidRPr="006F30BF">
        <w:rPr>
          <w:rFonts w:ascii="Times New Roman" w:eastAsia="Times New Roman" w:hAnsi="Times New Roman" w:cs="Times New Roman"/>
          <w:b/>
          <w:bCs/>
          <w:color w:val="000000" w:themeColor="text1"/>
          <w:sz w:val="24"/>
          <w:szCs w:val="24"/>
          <w:lang w:val="pt-BR" w:eastAsia="pt-BR"/>
        </w:rPr>
        <w:t>DETERMINAÇÃO DO ÍNDICE DE BALNEABILIDADE DO AÇUDE DE BODOCONGÓ EM CAMPINA GRANDE-PB, BRASIL, A PARTIR DE INDICADORES BIOLÓGICOS</w:t>
      </w:r>
      <w:bookmarkEnd w:id="0"/>
    </w:p>
    <w:p w14:paraId="2D28EA28" w14:textId="77777777" w:rsidR="00B3544F" w:rsidRPr="00ED714A" w:rsidRDefault="00B3544F" w:rsidP="00B3544F">
      <w:pPr>
        <w:shd w:val="clear" w:color="auto" w:fill="FFFFFF" w:themeFill="background1"/>
        <w:spacing w:after="0" w:line="240" w:lineRule="auto"/>
        <w:jc w:val="center"/>
        <w:rPr>
          <w:rFonts w:ascii="Times New Roman" w:eastAsia="Times New Roman" w:hAnsi="Times New Roman" w:cs="Times New Roman"/>
          <w:b/>
          <w:bCs/>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DETERMINATION OF THE BATHING WATER QUALITY INDEX OF BODOCONGÓ RESERVOIR IN CAMPINA GRANDE-PB, BRAZIL, BASED ON BIOLOGICAL INDICATORS</w:t>
      </w:r>
    </w:p>
    <w:p w14:paraId="15ABD4C1" w14:textId="77777777" w:rsidR="00B3544F" w:rsidRPr="006F30BF" w:rsidRDefault="00B3544F" w:rsidP="00B3544F">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lang w:val="pt-BR" w:eastAsia="pt-BR"/>
        </w:rPr>
      </w:pPr>
    </w:p>
    <w:p w14:paraId="7C0DA9E1" w14:textId="77777777" w:rsidR="00B3544F" w:rsidRPr="006F30BF" w:rsidRDefault="00B3544F" w:rsidP="0003110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Aurean de Paula Carvalho¹; Vera Lucia Antunes de Lima²; Dany Geraldo Kramer Cavalcanti e Silva³; Antonio Moreira de Carvalho Filho⁴</w:t>
      </w:r>
    </w:p>
    <w:p w14:paraId="333B1EAA" w14:textId="77777777" w:rsidR="00B3544F" w:rsidRPr="00ED714A" w:rsidRDefault="00B3544F" w:rsidP="0003110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 xml:space="preserve">¹ Instituto Federal do Tocantins (IFTO-ARAGUATINS), Campina Grande-PB, Brasil. E-mail: aureanp@yahoo.com.br. ² Universidade Federal de Campina Grande-PB. E-mail: antuneslima@gmail.com. ³ Universidade Federal do Rio Grande do Norte, Núcleo de Ensino, Santa Cruz-RN. E-mail: dgkcs@yahoo.com.br. ⁴ </w:t>
      </w:r>
      <w:r w:rsidR="00031108" w:rsidRPr="00031108">
        <w:rPr>
          <w:rFonts w:ascii="Times New Roman" w:hAnsi="Times New Roman" w:cs="Times New Roman"/>
          <w:sz w:val="24"/>
          <w:szCs w:val="24"/>
        </w:rPr>
        <w:t>Instituto Nordeste de Educação Superior e Pós-Graduação</w:t>
      </w:r>
      <w:r w:rsidR="00F67A1F">
        <w:rPr>
          <w:rFonts w:ascii="Times New Roman" w:hAnsi="Times New Roman" w:cs="Times New Roman"/>
          <w:sz w:val="24"/>
          <w:szCs w:val="24"/>
        </w:rPr>
        <w:t xml:space="preserve"> (</w:t>
      </w:r>
      <w:r w:rsidRPr="006F30BF">
        <w:rPr>
          <w:rFonts w:ascii="Times New Roman" w:eastAsia="Times New Roman" w:hAnsi="Times New Roman" w:cs="Times New Roman"/>
          <w:color w:val="000000" w:themeColor="text1"/>
          <w:sz w:val="24"/>
          <w:szCs w:val="24"/>
          <w:lang w:val="pt-BR" w:eastAsia="pt-BR"/>
        </w:rPr>
        <w:t>INESP</w:t>
      </w:r>
      <w:r w:rsidR="00F67A1F">
        <w:rPr>
          <w:rFonts w:ascii="Times New Roman" w:eastAsia="Times New Roman" w:hAnsi="Times New Roman" w:cs="Times New Roman"/>
          <w:color w:val="000000" w:themeColor="text1"/>
          <w:sz w:val="24"/>
          <w:szCs w:val="24"/>
          <w:lang w:val="pt-BR" w:eastAsia="pt-BR"/>
        </w:rPr>
        <w:t>O), Imperatriz-MA</w:t>
      </w:r>
      <w:r w:rsidRPr="006F30BF">
        <w:rPr>
          <w:rFonts w:ascii="Times New Roman" w:eastAsia="Times New Roman" w:hAnsi="Times New Roman" w:cs="Times New Roman"/>
          <w:color w:val="000000" w:themeColor="text1"/>
          <w:sz w:val="24"/>
          <w:szCs w:val="24"/>
          <w:lang w:val="pt-BR" w:eastAsia="pt-BR"/>
        </w:rPr>
        <w:t>.</w:t>
      </w:r>
      <w:r w:rsidR="00031108">
        <w:rPr>
          <w:rFonts w:ascii="Times New Roman" w:eastAsia="Times New Roman" w:hAnsi="Times New Roman" w:cs="Times New Roman"/>
          <w:color w:val="000000" w:themeColor="text1"/>
          <w:sz w:val="24"/>
          <w:szCs w:val="24"/>
          <w:lang w:val="pt-BR" w:eastAsia="pt-BR"/>
        </w:rPr>
        <w:t xml:space="preserve"> E-mail: amdcfilho2015@gmail.com.</w:t>
      </w:r>
    </w:p>
    <w:p w14:paraId="7E143865" w14:textId="77777777" w:rsidR="00B3544F" w:rsidRPr="006F30BF" w:rsidRDefault="00B3544F" w:rsidP="00B3544F">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lang w:val="pt-BR" w:eastAsia="pt-BR"/>
        </w:rPr>
      </w:pPr>
    </w:p>
    <w:p w14:paraId="68C47652" w14:textId="77777777" w:rsidR="00B3544F" w:rsidRPr="006F30BF" w:rsidRDefault="00B3544F" w:rsidP="00B3544F">
      <w:pPr>
        <w:shd w:val="clear" w:color="auto" w:fill="FFFFFF" w:themeFill="background1"/>
        <w:spacing w:after="0" w:line="240" w:lineRule="auto"/>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RESUMO</w:t>
      </w:r>
    </w:p>
    <w:p w14:paraId="53FC1CE7" w14:textId="77777777" w:rsidR="00B3544F" w:rsidRPr="006F30BF" w:rsidRDefault="00B3544F" w:rsidP="00B3544F">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Sabe-se que a água é um dos mais importantes recursos naturais, sendo indispensável para a sobrevivência e diversas atividades como lazer. Este trabalho teve como objetivo avaliar a qualidade da água do açude de Bodocongó, em Campina Grande, no estado da Paraíba, para o fim de balneabilidade. O estudo foi conduzido nos anos de 2006 e 2007, quando foi avaliado o parâmetro biológico</w:t>
      </w:r>
      <w:r w:rsidR="00BE3C98" w:rsidRPr="00ED714A">
        <w:rPr>
          <w:rFonts w:ascii="Times New Roman" w:eastAsia="Times New Roman" w:hAnsi="Times New Roman" w:cs="Times New Roman"/>
          <w:color w:val="000000" w:themeColor="text1"/>
          <w:sz w:val="24"/>
          <w:szCs w:val="24"/>
          <w:lang w:val="pt-BR" w:eastAsia="pt-BR"/>
        </w:rPr>
        <w:t>:</w:t>
      </w:r>
      <w:r w:rsidRPr="006F30BF">
        <w:rPr>
          <w:rFonts w:ascii="Times New Roman" w:eastAsia="Times New Roman" w:hAnsi="Times New Roman" w:cs="Times New Roman"/>
          <w:color w:val="000000" w:themeColor="text1"/>
          <w:sz w:val="24"/>
          <w:szCs w:val="24"/>
          <w:lang w:val="pt-BR" w:eastAsia="pt-BR"/>
        </w:rPr>
        <w:t xml:space="preserve"> coliformes fecais. Os resultados obtidos demonstraram que as águas do açude Bodocongó não atenderam aos padrões de qualidade de balneabilidade determinados pela Resolução CONAMA nº 274/2000, permitindo que fossem classificadas como impróprias segundo a metodologia usada pela CETESB.</w:t>
      </w:r>
    </w:p>
    <w:p w14:paraId="09EDA017" w14:textId="77777777" w:rsidR="00B3544F" w:rsidRPr="00ED714A" w:rsidRDefault="00B3544F" w:rsidP="00B3544F">
      <w:pPr>
        <w:shd w:val="clear" w:color="auto" w:fill="FFFFFF" w:themeFill="background1"/>
        <w:spacing w:after="0" w:line="240" w:lineRule="auto"/>
        <w:jc w:val="both"/>
        <w:rPr>
          <w:rFonts w:ascii="Times New Roman" w:eastAsia="Times New Roman" w:hAnsi="Times New Roman" w:cs="Times New Roman"/>
          <w:b/>
          <w:bCs/>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Palavras-chave: Índice de balneabilidade; saúde; Bodocongó.</w:t>
      </w:r>
    </w:p>
    <w:p w14:paraId="7C23417B" w14:textId="77777777" w:rsidR="00B3544F" w:rsidRPr="006F30BF" w:rsidRDefault="00B3544F" w:rsidP="00B3544F">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lang w:val="pt-BR" w:eastAsia="pt-BR"/>
        </w:rPr>
      </w:pPr>
    </w:p>
    <w:p w14:paraId="6F94158D" w14:textId="77777777" w:rsidR="00B3544F" w:rsidRPr="006F30BF" w:rsidRDefault="00B3544F" w:rsidP="00B3544F">
      <w:pPr>
        <w:shd w:val="clear" w:color="auto" w:fill="FFFFFF" w:themeFill="background1"/>
        <w:spacing w:after="0" w:line="240" w:lineRule="auto"/>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ABSTRACT</w:t>
      </w:r>
    </w:p>
    <w:p w14:paraId="1F0BA475" w14:textId="77777777" w:rsidR="00B3544F" w:rsidRPr="006F30BF" w:rsidRDefault="00B3544F" w:rsidP="00B3544F">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Water is one of the most important natural resources, being indispensable for survival and for several activities, including recreation. This study aimed to evaluate the water quality of the Bodocongó reservoir, in Campina Grande, Paraíba, Brazil, for bathing purposes. The study was conducted in 2006 and 2007, when the biological parameter fecal coliforms was evaluated. The results showed that the waters of the Bodocongó reservoir did not meet the bathing-water quality standards established by CONAMA Resolution No. 274/2000, allowing them to be classified as unsuitable according to the methodology used by CETESB.</w:t>
      </w:r>
    </w:p>
    <w:p w14:paraId="1CB0D514" w14:textId="77777777" w:rsidR="00B3544F" w:rsidRPr="00ED714A" w:rsidRDefault="00B3544F" w:rsidP="00B3544F">
      <w:pPr>
        <w:shd w:val="clear" w:color="auto" w:fill="FFFFFF" w:themeFill="background1"/>
        <w:spacing w:after="0" w:line="240" w:lineRule="auto"/>
        <w:jc w:val="both"/>
        <w:rPr>
          <w:rFonts w:ascii="Times New Roman" w:eastAsia="Times New Roman" w:hAnsi="Times New Roman" w:cs="Times New Roman"/>
          <w:b/>
          <w:bCs/>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Keywords: Bathing water quality index; health; Bodocongó.</w:t>
      </w:r>
    </w:p>
    <w:p w14:paraId="46EB1910" w14:textId="77777777" w:rsidR="00B3544F" w:rsidRPr="00ED714A" w:rsidRDefault="00B3544F" w:rsidP="00B3544F">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lang w:val="pt-BR" w:eastAsia="pt-BR"/>
        </w:rPr>
      </w:pPr>
    </w:p>
    <w:p w14:paraId="442D4883" w14:textId="77777777" w:rsidR="00B3544F" w:rsidRPr="006F30BF" w:rsidRDefault="00B3544F" w:rsidP="00B3544F">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lang w:val="pt-BR" w:eastAsia="pt-BR"/>
        </w:rPr>
      </w:pPr>
    </w:p>
    <w:p w14:paraId="1843B14B" w14:textId="77777777" w:rsidR="00B3544F" w:rsidRPr="00ED714A" w:rsidRDefault="00B3544F" w:rsidP="00B3544F">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1. INTRODUÇÃO</w:t>
      </w:r>
    </w:p>
    <w:p w14:paraId="77F54CB4" w14:textId="77777777" w:rsidR="00B3544F" w:rsidRPr="006F30BF" w:rsidRDefault="00B3544F" w:rsidP="00B3544F">
      <w:pPr>
        <w:shd w:val="clear" w:color="auto" w:fill="FFFFFF" w:themeFill="background1"/>
        <w:spacing w:after="0" w:line="240" w:lineRule="auto"/>
        <w:rPr>
          <w:rFonts w:ascii="Times New Roman" w:eastAsia="Times New Roman" w:hAnsi="Times New Roman" w:cs="Times New Roman"/>
          <w:color w:val="000000" w:themeColor="text1"/>
          <w:sz w:val="24"/>
          <w:szCs w:val="24"/>
          <w:lang w:val="pt-BR" w:eastAsia="pt-BR"/>
        </w:rPr>
      </w:pPr>
    </w:p>
    <w:p w14:paraId="188C9A04"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Ao longo da história da humanidade, as pessoas dependeram da água para satisfazer suas necessidades fundamentais, como beber, cozinhar, irrigar, transportar mercadorias e pessoas, pescar e lazer. Contudo, mesmo sendo a água um recurso natural valioso e essencial, ela tem sido extremamente mal utilizada, cuja qualidade vem se deteriorando devido às pressões exercidas pelo crescimento populacional e à ausência de políticas públicas efetivas voltadas para sua preservação e conservação (FALKENMARK, 2003; WHO, 2006; ALVES, 2007).</w:t>
      </w:r>
    </w:p>
    <w:p w14:paraId="64FD5269"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lastRenderedPageBreak/>
        <w:t>O comprometimento dos níveis de qualidade da água exigidos para diversos usos é decorrente de poluição oriunda da introdução no ciclo hidrológico de substâncias residuais em quantidades superiores à capacidade de autodepuração dos recursos hídricos. Assim, os poluentes chegam até as águas por meio de precipitações, escoamentos superficiais, infiltrações ou lançamentos diretos de efluentes e resíduos sólidos (WHO, 2006; STRIEDER et al., 2006).</w:t>
      </w:r>
    </w:p>
    <w:p w14:paraId="654F6082"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De acordo com Mota (1997), as principais fontes de poluição das águas superficiais são esgoto doméstico, esgoto industrial, águas pluviais carregando impurezas do solo ou contendo esgotos lançados nas galerias, resíduos sólidos, pesticidas, fertilizantes, detergentes, precipitação de poluentes atmosféricos sobre o solo ou água, alterações nas margens dos mananciais e erosão, dentre outros. Alterações estas que, segundo a WHO (2003), estariam relacionadas com a maior parte das doenças veiculadas pela água.</w:t>
      </w:r>
    </w:p>
    <w:p w14:paraId="31363751" w14:textId="0DB56B95"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 xml:space="preserve">Dentre os riscos, citam-se os relativos ao contato do homem com água contaminada de áreas de recreação, que geralmente contêm uma mistura de microrganismos patogênicos e não patogênicos em concentrações variadas, como vírus, protozoários, bactérias e fungos (TAVARES et al. </w:t>
      </w:r>
      <w:r w:rsidR="00DE3F76">
        <w:rPr>
          <w:rFonts w:ascii="Times New Roman" w:eastAsia="Times New Roman" w:hAnsi="Times New Roman" w:cs="Times New Roman"/>
          <w:color w:val="000000" w:themeColor="text1"/>
          <w:sz w:val="24"/>
          <w:szCs w:val="24"/>
          <w:lang w:val="pt-BR" w:eastAsia="pt-BR"/>
        </w:rPr>
        <w:t>(</w:t>
      </w:r>
      <w:r w:rsidRPr="006F30BF">
        <w:rPr>
          <w:rFonts w:ascii="Times New Roman" w:eastAsia="Times New Roman" w:hAnsi="Times New Roman" w:cs="Times New Roman"/>
          <w:color w:val="000000" w:themeColor="text1"/>
          <w:sz w:val="24"/>
          <w:szCs w:val="24"/>
          <w:lang w:val="pt-BR" w:eastAsia="pt-BR"/>
        </w:rPr>
        <w:t>200</w:t>
      </w:r>
      <w:r w:rsidR="00DE3F76">
        <w:rPr>
          <w:rFonts w:ascii="Times New Roman" w:eastAsia="Times New Roman" w:hAnsi="Times New Roman" w:cs="Times New Roman"/>
          <w:color w:val="000000" w:themeColor="text1"/>
          <w:sz w:val="24"/>
          <w:szCs w:val="24"/>
          <w:lang w:val="pt-BR" w:eastAsia="pt-BR"/>
        </w:rPr>
        <w:t>5)</w:t>
      </w:r>
      <w:r w:rsidRPr="006F30BF">
        <w:rPr>
          <w:rFonts w:ascii="Times New Roman" w:eastAsia="Times New Roman" w:hAnsi="Times New Roman" w:cs="Times New Roman"/>
          <w:color w:val="000000" w:themeColor="text1"/>
          <w:sz w:val="24"/>
          <w:szCs w:val="24"/>
          <w:lang w:val="pt-BR" w:eastAsia="pt-BR"/>
        </w:rPr>
        <w:t xml:space="preserve">; ALVES, </w:t>
      </w:r>
      <w:r w:rsidR="00A858B7">
        <w:rPr>
          <w:rFonts w:ascii="Times New Roman" w:eastAsia="Times New Roman" w:hAnsi="Times New Roman" w:cs="Times New Roman"/>
          <w:color w:val="000000" w:themeColor="text1"/>
          <w:sz w:val="24"/>
          <w:szCs w:val="24"/>
          <w:lang w:val="pt-BR" w:eastAsia="pt-BR"/>
        </w:rPr>
        <w:t>(</w:t>
      </w:r>
      <w:r w:rsidRPr="006F30BF">
        <w:rPr>
          <w:rFonts w:ascii="Times New Roman" w:eastAsia="Times New Roman" w:hAnsi="Times New Roman" w:cs="Times New Roman"/>
          <w:color w:val="000000" w:themeColor="text1"/>
          <w:sz w:val="24"/>
          <w:szCs w:val="24"/>
          <w:lang w:val="pt-BR" w:eastAsia="pt-BR"/>
        </w:rPr>
        <w:t>2007). Tavares et al. (2004) apontam os vírus entéricos, como poliovírus, rotavírus, calicivírus, alguns adenovírus e vírus da hepatite A, como importantes causas de enfermidades veiculadas através da água contaminada por fezes humanas. Alves (2007) cita bactérias do grupo entérico, como Salmonella typhi, Enterobacter, Shigella, Streptococcus, Legionella, Vibrio cholerae e Escherichia coli, associadas a diferentes enfermidades. Oddó (2006) exemplifica os riscos à saúde humana advindos dos protozoários Entamoeba histolytica, Giardia e Cryptosporidium.</w:t>
      </w:r>
    </w:p>
    <w:p w14:paraId="07F4DAF9"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Esses microrganismos podem ser derivados de efluentes de esgoto, da população que usa a água para recreação, de animais, de processos industriais, de animais domésticos e da vida selvagem (ALVES, 2007). A WHO (2003) afirma que estudos epidemiológicos demonstraram resultados adversos à saúde, incluindo infecções gastrointestinais e respiratórias, associados à ingestão, inalação ou contato com água recreativa poluída.</w:t>
      </w:r>
    </w:p>
    <w:p w14:paraId="57812CF1"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Nesse sentido, o monitoramento da qualidade do recurso hídrico pode gerar informações quantitativas e qualitativas sobre as condições biológicas, físicas, químicas e ecológicas, úteis para prevenção de doenças e fiscalizações legais. Segundo Porto (1991), os padrões de qualidade da água devem ser utilizados para regulamentar e controlar os níveis de qualidade a serem mantidos em um corpo d’água, dependendo do uso a que ele se destina.</w:t>
      </w:r>
    </w:p>
    <w:p w14:paraId="11A5F305"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 xml:space="preserve">A utilização de padrões de qualidade atende a dois propósitos: manter a qualidade do curso d’água ou definir uma meta a ser atingida e ser a base para definir os níveis de tratamento </w:t>
      </w:r>
      <w:r w:rsidRPr="006F30BF">
        <w:rPr>
          <w:rFonts w:ascii="Times New Roman" w:eastAsia="Times New Roman" w:hAnsi="Times New Roman" w:cs="Times New Roman"/>
          <w:color w:val="000000" w:themeColor="text1"/>
          <w:sz w:val="24"/>
          <w:szCs w:val="24"/>
          <w:lang w:val="pt-BR" w:eastAsia="pt-BR"/>
        </w:rPr>
        <w:lastRenderedPageBreak/>
        <w:t>a serem adotados na bacia, de modo que os efluentes lançados não alterem as características do curso d’água estabelecidas pelo padrão.</w:t>
      </w:r>
    </w:p>
    <w:p w14:paraId="2668B5A6" w14:textId="77777777" w:rsidR="00B3544F" w:rsidRPr="00ED714A"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Assim, o presente estudo teve como objetivo avaliar a qualidade da água do açude Bodocongó para o fim de balneabilidade, bem como subsidiar a posterior instalação de placas com informações referentes ao estado em que se encontram as águas deste açude como parte de um programa de educação ambiental, visto que o mesmo é usado para lazer pela comunidade que reside em sua vizinhança.</w:t>
      </w:r>
    </w:p>
    <w:p w14:paraId="1A0D68F0" w14:textId="77777777" w:rsidR="00B3544F" w:rsidRPr="006F30BF" w:rsidRDefault="00B3544F" w:rsidP="00B3544F">
      <w:pPr>
        <w:shd w:val="clear" w:color="auto" w:fill="FFFFFF" w:themeFill="background1"/>
        <w:spacing w:after="0" w:line="360" w:lineRule="auto"/>
        <w:ind w:firstLine="340"/>
        <w:jc w:val="both"/>
        <w:rPr>
          <w:rFonts w:ascii="Times New Roman" w:eastAsia="Times New Roman" w:hAnsi="Times New Roman" w:cs="Times New Roman"/>
          <w:color w:val="000000" w:themeColor="text1"/>
          <w:sz w:val="24"/>
          <w:szCs w:val="24"/>
          <w:lang w:val="pt-BR" w:eastAsia="pt-BR"/>
        </w:rPr>
      </w:pPr>
    </w:p>
    <w:p w14:paraId="0F7F8B8B" w14:textId="77777777" w:rsidR="00B3544F" w:rsidRPr="00ED714A" w:rsidRDefault="00B3544F" w:rsidP="00B3544F">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2. MATERIAL E MÉTODOS</w:t>
      </w:r>
    </w:p>
    <w:p w14:paraId="2B190A7F" w14:textId="77777777" w:rsidR="00B3544F" w:rsidRPr="006F30BF" w:rsidRDefault="00B3544F" w:rsidP="00B3544F">
      <w:pPr>
        <w:shd w:val="clear" w:color="auto" w:fill="FFFFFF" w:themeFill="background1"/>
        <w:spacing w:after="0" w:line="240" w:lineRule="auto"/>
        <w:rPr>
          <w:rFonts w:ascii="Times New Roman" w:eastAsia="Times New Roman" w:hAnsi="Times New Roman" w:cs="Times New Roman"/>
          <w:color w:val="000000" w:themeColor="text1"/>
          <w:sz w:val="24"/>
          <w:szCs w:val="24"/>
          <w:lang w:val="pt-BR" w:eastAsia="pt-BR"/>
        </w:rPr>
      </w:pPr>
    </w:p>
    <w:p w14:paraId="7AB46A0C" w14:textId="77777777" w:rsidR="00B3544F" w:rsidRPr="006F30BF" w:rsidRDefault="00B3544F" w:rsidP="00B3544F">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2.1 Localização do experimento</w:t>
      </w:r>
    </w:p>
    <w:p w14:paraId="76554C3C"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A cidade de Campina Grande é a segunda maior do estado da Paraíba e situa-se no semiárido nordestino, na mesorregião do Agreste Paraibano, zona oriental do Planalto da Borborema, na bacia do Médio Paraíba. Encontra-se no trecho mais alto das escarpas deste Planalto, com altitudes variando entre 500 e 600 m, ocupando uma área de 970 km², dos quais 411 km² são de área urbana.</w:t>
      </w:r>
    </w:p>
    <w:p w14:paraId="415A9FFE" w14:textId="77777777" w:rsidR="00B3544F" w:rsidRPr="006F30BF" w:rsidRDefault="00B3544F" w:rsidP="00FE3FD4">
      <w:pPr>
        <w:shd w:val="clear" w:color="auto" w:fill="FFFFFF" w:themeFill="background1"/>
        <w:spacing w:after="0" w:line="360" w:lineRule="auto"/>
        <w:ind w:firstLine="567"/>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A cidade dista 120 km de João Pessoa, capital do estado, e tinha população estimada em 376.132 habitantes (IBGE, 2009), dos quais a maior parte residia na área urbana. O clima da região é classificado como tipo As’, segundo Köppen, sendo quente e úmido com chuvas de outono-inverno e precipitação média anual de 730 mm. A temperatura oscila entre 28,6 ºC e 19,5 ºC, com média de 22,9 ºC.</w:t>
      </w:r>
    </w:p>
    <w:p w14:paraId="4CB8B966"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O município polariza um universo de cinco microrregiões homogêneas, perfazendo um total de 23.960 km², correspondente a 43% do território paraibano, consistindo em um dos centros urbanos de maior desenvolvimento tecnológico do Nordeste Brasileiro (PMCG, 2007).</w:t>
      </w:r>
    </w:p>
    <w:p w14:paraId="65AD6DFF" w14:textId="6889DEF7" w:rsidR="00B3544F" w:rsidRPr="006F30BF" w:rsidRDefault="00DE3F76"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DE3F76">
        <w:rPr>
          <w:rFonts w:ascii="Times New Roman" w:hAnsi="Times New Roman" w:cs="Times New Roman"/>
          <w:iCs/>
          <w:sz w:val="24"/>
          <w:szCs w:val="24"/>
        </w:rPr>
        <w:t xml:space="preserve">O objeto de estudo foi o açude Bodocongó, construído na confluência do rio Bodocongó com o rio Caracóis para aumentar a disponibilidade de </w:t>
      </w:r>
      <w:r>
        <w:rPr>
          <w:rFonts w:ascii="Times New Roman" w:hAnsi="Times New Roman" w:cs="Times New Roman"/>
          <w:iCs/>
          <w:sz w:val="24"/>
          <w:szCs w:val="24"/>
        </w:rPr>
        <w:t xml:space="preserve">agua </w:t>
      </w:r>
      <w:r w:rsidR="00B3544F" w:rsidRPr="006F30BF">
        <w:rPr>
          <w:rFonts w:ascii="Times New Roman" w:eastAsia="Times New Roman" w:hAnsi="Times New Roman" w:cs="Times New Roman"/>
          <w:color w:val="000000" w:themeColor="text1"/>
          <w:sz w:val="24"/>
          <w:szCs w:val="24"/>
          <w:lang w:val="pt-BR" w:eastAsia="pt-BR"/>
        </w:rPr>
        <w:t>para abastecimento deste município, como medida de combater a escassez de água na região, uma vez que o Açude Novo e o Açude Velho não conseguiam mais suprir as necessidades hídricas da população.</w:t>
      </w:r>
    </w:p>
    <w:p w14:paraId="4961B7B6"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Atualmente encontram-se instalados nas áreas circunvizinhas do açude, além dos bairros Bodocongó e Novo Bodocongó (Vila dos Teimosos), complexos industriais com empresas que dependem das águas do açude para abastecimento (CARVALHO, 2007).</w:t>
      </w:r>
    </w:p>
    <w:p w14:paraId="44D1A66C"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O monitoramento da qualidade da água foi realizado no açude de Bodocongó, recurso hídrico importante para a cidade de Campina Grande, uma vez que alimenta o horto florestal e o complexo industrial instalado em seu entorno, é usado para lazer e constitui elemento paisagístico relevante para os habitantes do município.</w:t>
      </w:r>
    </w:p>
    <w:p w14:paraId="39EA46E4" w14:textId="77777777" w:rsidR="00123F57" w:rsidRPr="00FE3FD4" w:rsidRDefault="008A5C0C"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FE3FD4">
        <w:rPr>
          <w:rFonts w:ascii="Times New Roman" w:hAnsi="Times New Roman" w:cs="Times New Roman"/>
          <w:color w:val="000000"/>
          <w:sz w:val="24"/>
          <w:szCs w:val="24"/>
          <w:shd w:val="clear" w:color="auto" w:fill="FFFFFF"/>
        </w:rPr>
        <w:lastRenderedPageBreak/>
        <w:t>O período de amostragem abrangeu os anos de 2006 e 2007, em quatro pontos de coletas distribuídos ao longo deste corpo hídrico, os quais foram marcados com um sistema de posicionamento global (GPS) e apresentados na Figura 1.</w:t>
      </w:r>
    </w:p>
    <w:p w14:paraId="6BAE6182" w14:textId="77777777" w:rsidR="00123F57" w:rsidRPr="006F30BF" w:rsidRDefault="008A5C0C" w:rsidP="00B3544F">
      <w:pPr>
        <w:shd w:val="clear" w:color="auto" w:fill="FFFFFF" w:themeFill="background1"/>
        <w:spacing w:after="0" w:line="360" w:lineRule="auto"/>
        <w:ind w:firstLine="340"/>
        <w:jc w:val="both"/>
        <w:rPr>
          <w:rFonts w:ascii="Times New Roman" w:eastAsia="Times New Roman" w:hAnsi="Times New Roman" w:cs="Times New Roman"/>
          <w:color w:val="000000" w:themeColor="text1"/>
          <w:sz w:val="24"/>
          <w:szCs w:val="24"/>
          <w:lang w:val="pt-BR" w:eastAsia="pt-BR"/>
        </w:rPr>
      </w:pPr>
      <w:r>
        <w:rPr>
          <w:noProof/>
        </w:rPr>
        <w:drawing>
          <wp:inline distT="0" distB="0" distL="0" distR="0" wp14:anchorId="450ADE29" wp14:editId="4CF99B71">
            <wp:extent cx="5759450" cy="3156819"/>
            <wp:effectExtent l="0" t="0" r="0" b="5715"/>
            <wp:docPr id="3" name="Imagem 3" descr="https://www.revistaea.org/img/campina28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evistaea.org/img/campina28_image0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3156819"/>
                    </a:xfrm>
                    <a:prstGeom prst="rect">
                      <a:avLst/>
                    </a:prstGeom>
                    <a:noFill/>
                    <a:ln>
                      <a:noFill/>
                    </a:ln>
                  </pic:spPr>
                </pic:pic>
              </a:graphicData>
            </a:graphic>
          </wp:inline>
        </w:drawing>
      </w:r>
    </w:p>
    <w:p w14:paraId="1BDF9969" w14:textId="697F3FD8" w:rsidR="008A5C0C" w:rsidRPr="008A5C0C" w:rsidRDefault="008A5C0C" w:rsidP="00B3544F">
      <w:pPr>
        <w:shd w:val="clear" w:color="auto" w:fill="FFFFFF" w:themeFill="background1"/>
        <w:spacing w:after="0" w:line="360" w:lineRule="auto"/>
        <w:jc w:val="center"/>
        <w:rPr>
          <w:rFonts w:ascii="Times New Roman" w:hAnsi="Times New Roman" w:cs="Times New Roman"/>
          <w:color w:val="000000"/>
          <w:sz w:val="24"/>
          <w:szCs w:val="24"/>
          <w:shd w:val="clear" w:color="auto" w:fill="FFFFFF"/>
        </w:rPr>
      </w:pPr>
      <w:r w:rsidRPr="008A5C0C">
        <w:rPr>
          <w:rFonts w:ascii="Times New Roman" w:hAnsi="Times New Roman" w:cs="Times New Roman"/>
          <w:b/>
          <w:bCs/>
          <w:color w:val="000000"/>
          <w:sz w:val="24"/>
          <w:szCs w:val="24"/>
          <w:shd w:val="clear" w:color="auto" w:fill="FFFFFF"/>
        </w:rPr>
        <w:t>Figura 1</w:t>
      </w:r>
      <w:r w:rsidRPr="008A5C0C">
        <w:rPr>
          <w:rFonts w:ascii="Times New Roman" w:hAnsi="Times New Roman" w:cs="Times New Roman"/>
          <w:color w:val="000000"/>
          <w:sz w:val="24"/>
          <w:szCs w:val="24"/>
          <w:shd w:val="clear" w:color="auto" w:fill="FFFFFF"/>
        </w:rPr>
        <w:t>. Pontos de coleta ao longo do açude de Bodocongó. (Fonte: Google, 2008)</w:t>
      </w:r>
      <w:r w:rsidR="00043FE5">
        <w:rPr>
          <w:rFonts w:ascii="Times New Roman" w:hAnsi="Times New Roman" w:cs="Times New Roman"/>
          <w:color w:val="000000"/>
          <w:sz w:val="24"/>
          <w:szCs w:val="24"/>
          <w:shd w:val="clear" w:color="auto" w:fill="FFFFFF"/>
        </w:rPr>
        <w:t>.</w:t>
      </w:r>
    </w:p>
    <w:p w14:paraId="6C0D1B3F"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p>
    <w:p w14:paraId="4DDB3260" w14:textId="77777777" w:rsidR="00B3544F" w:rsidRPr="006F30BF" w:rsidRDefault="00FE3FD4" w:rsidP="00FE3FD4">
      <w:pPr>
        <w:shd w:val="clear" w:color="auto" w:fill="FFFFFF" w:themeFill="background1"/>
        <w:spacing w:after="0" w:line="360" w:lineRule="auto"/>
        <w:ind w:firstLine="426"/>
        <w:jc w:val="both"/>
        <w:rPr>
          <w:rFonts w:ascii="Times New Roman" w:eastAsia="Times New Roman" w:hAnsi="Times New Roman" w:cs="Times New Roman"/>
          <w:color w:val="000000" w:themeColor="text1"/>
          <w:sz w:val="24"/>
          <w:szCs w:val="24"/>
          <w:lang w:val="pt-BR" w:eastAsia="pt-BR"/>
        </w:rPr>
      </w:pPr>
      <w:r w:rsidRPr="00FE3FD4">
        <w:rPr>
          <w:rFonts w:ascii="Times New Roman" w:hAnsi="Times New Roman" w:cs="Times New Roman"/>
          <w:color w:val="000000"/>
          <w:sz w:val="24"/>
          <w:szCs w:val="24"/>
          <w:shd w:val="clear" w:color="auto" w:fill="FFFFFF"/>
        </w:rPr>
        <w:t>Para a definição dos pontos de coleta de água, foram realizados estudos bibliográficos relacionados à área, visitas de campo e entrevistas junto à comunidade, na qual determinou-se 4 pontos para coleta das amostras (Tabela 01).</w:t>
      </w:r>
    </w:p>
    <w:p w14:paraId="6D287BB1" w14:textId="65B030F8" w:rsidR="00B3544F" w:rsidRPr="006F30BF" w:rsidRDefault="007A3497"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Pr>
          <w:rFonts w:ascii="Times New Roman" w:eastAsia="Times New Roman" w:hAnsi="Times New Roman" w:cs="Times New Roman"/>
          <w:b/>
          <w:bCs/>
          <w:color w:val="000000" w:themeColor="text1"/>
          <w:sz w:val="24"/>
          <w:szCs w:val="24"/>
          <w:lang w:val="pt-BR" w:eastAsia="pt-BR"/>
        </w:rPr>
        <w:t>Quadro</w:t>
      </w:r>
      <w:r w:rsidR="00B3544F" w:rsidRPr="006F30BF">
        <w:rPr>
          <w:rFonts w:ascii="Times New Roman" w:eastAsia="Times New Roman" w:hAnsi="Times New Roman" w:cs="Times New Roman"/>
          <w:b/>
          <w:bCs/>
          <w:color w:val="000000" w:themeColor="text1"/>
          <w:sz w:val="24"/>
          <w:szCs w:val="24"/>
          <w:lang w:val="pt-BR" w:eastAsia="pt-BR"/>
        </w:rPr>
        <w:t xml:space="preserve"> 1. Localização dos pontos de coleta de água no açude de Bodocongó, em Campina Grande, Paraíba, no período de 2006 a 2007.</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2261"/>
        <w:gridCol w:w="2262"/>
        <w:gridCol w:w="2263"/>
        <w:gridCol w:w="2264"/>
      </w:tblGrid>
      <w:tr w:rsidR="00B3544F" w:rsidRPr="00ED714A" w14:paraId="15053EA2" w14:textId="77777777" w:rsidTr="00DA23FF">
        <w:tc>
          <w:tcPr>
            <w:tcW w:w="2267"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451E27F1"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Ponto</w:t>
            </w:r>
          </w:p>
        </w:tc>
        <w:tc>
          <w:tcPr>
            <w:tcW w:w="2267"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30EF1F18"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Latitude (S)</w:t>
            </w:r>
          </w:p>
        </w:tc>
        <w:tc>
          <w:tcPr>
            <w:tcW w:w="2267"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6088ADB0"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Longitude (W)</w:t>
            </w:r>
          </w:p>
        </w:tc>
        <w:tc>
          <w:tcPr>
            <w:tcW w:w="2267"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767C2E33"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Local de referência</w:t>
            </w:r>
          </w:p>
        </w:tc>
      </w:tr>
      <w:tr w:rsidR="00B3544F" w:rsidRPr="00ED714A" w14:paraId="5A404636" w14:textId="77777777" w:rsidTr="00DA23FF">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5409A1B"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1</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A64BBB4"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07º 12’ 52,9”</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5819D38"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35º 54’ 59,6”</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87922FD"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Sangradouro do açude</w:t>
            </w:r>
          </w:p>
        </w:tc>
      </w:tr>
      <w:tr w:rsidR="00B3544F" w:rsidRPr="00ED714A" w14:paraId="13F34C63" w14:textId="77777777" w:rsidTr="00DA23FF">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ED25AA9"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2</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6ECE575"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07º 12’ 38,4”</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92B67E3"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35º 55’ 25,7”</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13D33A7"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Captação de água para abastecimento industrial</w:t>
            </w:r>
          </w:p>
        </w:tc>
      </w:tr>
      <w:tr w:rsidR="00B3544F" w:rsidRPr="00ED714A" w14:paraId="7FBE0E1D" w14:textId="77777777" w:rsidTr="00DA23FF">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7C626B6"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3</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7C80F87"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07º 12’ 47,8”</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10867D1"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35º 54’ 41,1”</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A837220"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Entrada de esgoto doméstico e captação para piscicultura</w:t>
            </w:r>
          </w:p>
        </w:tc>
      </w:tr>
      <w:tr w:rsidR="00B3544F" w:rsidRPr="00ED714A" w14:paraId="565CF5DB" w14:textId="77777777" w:rsidTr="00DA23FF">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9305C3B"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4</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F4F1A47"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07º 12’ 51,7”</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AFDD46"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35º 54’ 39,7”</w:t>
            </w:r>
          </w:p>
        </w:tc>
        <w:tc>
          <w:tcPr>
            <w:tcW w:w="2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DC8AB35"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Sistema de captação de água para irrigação</w:t>
            </w:r>
          </w:p>
        </w:tc>
      </w:tr>
    </w:tbl>
    <w:p w14:paraId="4750B816" w14:textId="77777777" w:rsidR="00B3544F" w:rsidRPr="006F30BF" w:rsidRDefault="00B3544F" w:rsidP="00FE3FD4">
      <w:pPr>
        <w:shd w:val="clear" w:color="auto" w:fill="FFFFFF" w:themeFill="background1"/>
        <w:spacing w:after="0" w:line="360" w:lineRule="auto"/>
        <w:rPr>
          <w:rFonts w:ascii="Times New Roman" w:eastAsia="Times New Roman" w:hAnsi="Times New Roman" w:cs="Times New Roman"/>
          <w:color w:val="000000" w:themeColor="text1"/>
          <w:sz w:val="24"/>
          <w:szCs w:val="24"/>
          <w:lang w:val="pt-BR" w:eastAsia="pt-BR"/>
        </w:rPr>
      </w:pPr>
    </w:p>
    <w:p w14:paraId="7EB3028C" w14:textId="77777777" w:rsidR="00B3544F" w:rsidRPr="006F30BF" w:rsidRDefault="00B3544F" w:rsidP="00B3544F">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lastRenderedPageBreak/>
        <w:t>2.2 Análises de água</w:t>
      </w:r>
    </w:p>
    <w:p w14:paraId="3475BDE7"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O parâmetro de qualidade da água estudado neste trabalho foi coliformes fecais, relacionados às bactérias encontradas na água e no solo, tendo como fonte principal as fezes de seres humanos e outros animais. Embora não sejam necessariamente patogênicos, são utilizados como indicadores bacteriológicos de poluição fecal, para apontar que a água recebeu dejetos podendo conter microrganismos causadores de doenças (ALVES, 2007; ODDÓ, 2006).</w:t>
      </w:r>
    </w:p>
    <w:p w14:paraId="2403294D" w14:textId="77777777" w:rsidR="00B3544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As amostras de água foram coletadas em frasco de 1.000 mL, acondicionadas em caixas térmicas contendo gelo e levadas para processamento no laboratório do Programa de Pesquisa em Saneamento Básico (PROSAB), em Campina Grande-PB. Os coliformes fecais (CF) foram analisados segundo a técnica dos tubos múltiplos em meio de cultura caldo lactosado, de acordo com a metodologia descrita pelo Standard Methods (APHA, 1995). O estudo foi realizado mensalmente, durante as estações seca e chuvosa, de dezembro de 2006 a março de 2007.</w:t>
      </w:r>
    </w:p>
    <w:p w14:paraId="28543568" w14:textId="77777777" w:rsidR="00FE3FD4" w:rsidRPr="006F30BF" w:rsidRDefault="00FE3FD4"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p>
    <w:p w14:paraId="4191A6BB" w14:textId="77777777" w:rsidR="00B3544F" w:rsidRPr="006F30BF" w:rsidRDefault="00B3544F" w:rsidP="00B3544F">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2.3 Índice de Balneabilidade</w:t>
      </w:r>
    </w:p>
    <w:p w14:paraId="65F00325" w14:textId="7EC2675B" w:rsidR="00B3544F" w:rsidRDefault="00B3544F" w:rsidP="007A3497">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Para avaliar a adequação das águas do açude para fins de balneabilidade, foi utilizada a Resolução nº 274/2000 do CONAMA e o Índice de Balneabilidade (IB) da CETESB, com adaptações à situação regional. O índice busca avaliar a qualidade da água para fins de recreação de contato primário e simplificar para a população os resultados das análises de qualidade da água realizados em determinado período.</w:t>
      </w:r>
      <w:r w:rsidR="007A3497">
        <w:rPr>
          <w:rFonts w:ascii="Times New Roman" w:eastAsia="Times New Roman" w:hAnsi="Times New Roman" w:cs="Times New Roman"/>
          <w:color w:val="000000" w:themeColor="text1"/>
          <w:sz w:val="24"/>
          <w:szCs w:val="24"/>
          <w:lang w:val="pt-BR" w:eastAsia="pt-BR"/>
        </w:rPr>
        <w:t xml:space="preserve"> </w:t>
      </w:r>
      <w:r w:rsidRPr="006F30BF">
        <w:rPr>
          <w:rFonts w:ascii="Times New Roman" w:eastAsia="Times New Roman" w:hAnsi="Times New Roman" w:cs="Times New Roman"/>
          <w:color w:val="000000" w:themeColor="text1"/>
          <w:sz w:val="24"/>
          <w:szCs w:val="24"/>
          <w:lang w:val="pt-BR" w:eastAsia="pt-BR"/>
        </w:rPr>
        <w:t>O parâmetro básico usado para classificação da balneabilidade é a densidade de coliformes fecais (termotolerantes)</w:t>
      </w:r>
      <w:r w:rsidR="007A3497">
        <w:rPr>
          <w:rFonts w:ascii="Times New Roman" w:eastAsia="Times New Roman" w:hAnsi="Times New Roman" w:cs="Times New Roman"/>
          <w:color w:val="000000" w:themeColor="text1"/>
          <w:sz w:val="24"/>
          <w:szCs w:val="24"/>
          <w:lang w:val="pt-BR" w:eastAsia="pt-BR"/>
        </w:rPr>
        <w:t xml:space="preserve"> </w:t>
      </w:r>
      <w:r w:rsidR="00BB61EB">
        <w:rPr>
          <w:rFonts w:ascii="Times New Roman" w:eastAsia="Times New Roman" w:hAnsi="Times New Roman" w:cs="Times New Roman"/>
          <w:color w:val="000000" w:themeColor="text1"/>
          <w:sz w:val="24"/>
          <w:szCs w:val="24"/>
          <w:lang w:val="pt-BR" w:eastAsia="pt-BR"/>
        </w:rPr>
        <w:t>quadro</w:t>
      </w:r>
      <w:r w:rsidR="007A3497">
        <w:rPr>
          <w:rFonts w:ascii="Times New Roman" w:eastAsia="Times New Roman" w:hAnsi="Times New Roman" w:cs="Times New Roman"/>
          <w:color w:val="000000" w:themeColor="text1"/>
          <w:sz w:val="24"/>
          <w:szCs w:val="24"/>
          <w:lang w:val="pt-BR" w:eastAsia="pt-BR"/>
        </w:rPr>
        <w:t xml:space="preserve"> 2.</w:t>
      </w:r>
    </w:p>
    <w:p w14:paraId="12A11A0F" w14:textId="1D2A10A0" w:rsidR="007A3497" w:rsidRPr="007A3497" w:rsidRDefault="00BB61EB" w:rsidP="00BB61EB">
      <w:pPr>
        <w:autoSpaceDE w:val="0"/>
        <w:autoSpaceDN w:val="0"/>
        <w:adjustRightInd w:val="0"/>
        <w:spacing w:after="0" w:line="240" w:lineRule="auto"/>
        <w:jc w:val="center"/>
        <w:rPr>
          <w:rFonts w:ascii="Times New Roman" w:hAnsi="Times New Roman" w:cs="Times New Roman"/>
          <w:sz w:val="24"/>
          <w:szCs w:val="24"/>
          <w:lang w:val="pt-BR"/>
        </w:rPr>
      </w:pPr>
      <w:r>
        <w:rPr>
          <w:rFonts w:ascii="Times New Roman" w:hAnsi="Times New Roman" w:cs="Times New Roman"/>
          <w:b/>
          <w:bCs/>
          <w:sz w:val="24"/>
          <w:szCs w:val="24"/>
          <w:lang w:val="pt-BR"/>
        </w:rPr>
        <w:t>Quadro</w:t>
      </w:r>
      <w:r w:rsidR="007A3497" w:rsidRPr="007A3497">
        <w:rPr>
          <w:rFonts w:ascii="Times New Roman" w:hAnsi="Times New Roman" w:cs="Times New Roman"/>
          <w:b/>
          <w:bCs/>
          <w:sz w:val="24"/>
          <w:szCs w:val="24"/>
          <w:lang w:val="pt-BR"/>
        </w:rPr>
        <w:t xml:space="preserve"> 2: </w:t>
      </w:r>
      <w:r w:rsidR="007A3497" w:rsidRPr="007A3497">
        <w:rPr>
          <w:rFonts w:ascii="Times New Roman" w:hAnsi="Times New Roman" w:cs="Times New Roman"/>
          <w:sz w:val="24"/>
          <w:szCs w:val="24"/>
          <w:lang w:val="pt-BR"/>
        </w:rPr>
        <w:t>Especificações</w:t>
      </w:r>
    </w:p>
    <w:p w14:paraId="72398B52" w14:textId="497177BB" w:rsidR="007A3497" w:rsidRPr="007A3497" w:rsidRDefault="007A3497" w:rsidP="00BB61EB">
      <w:pPr>
        <w:shd w:val="clear" w:color="auto" w:fill="FFFFFF" w:themeFill="background1"/>
        <w:spacing w:after="0" w:line="360" w:lineRule="auto"/>
        <w:ind w:firstLine="709"/>
        <w:jc w:val="center"/>
        <w:rPr>
          <w:rFonts w:ascii="Times New Roman" w:eastAsia="Times New Roman" w:hAnsi="Times New Roman" w:cs="Times New Roman"/>
          <w:color w:val="000000" w:themeColor="text1"/>
          <w:sz w:val="24"/>
          <w:szCs w:val="24"/>
          <w:lang w:val="pt-BR" w:eastAsia="pt-BR"/>
        </w:rPr>
      </w:pPr>
      <w:r w:rsidRPr="007A3497">
        <w:rPr>
          <w:rFonts w:ascii="Times New Roman" w:hAnsi="Times New Roman" w:cs="Times New Roman"/>
          <w:sz w:val="24"/>
          <w:szCs w:val="24"/>
          <w:lang w:val="pt-BR"/>
        </w:rPr>
        <w:t>que determinam a Qualificação das Águas de Açudes para fins de Balneabilidade.</w:t>
      </w:r>
    </w:p>
    <w:tbl>
      <w:tblPr>
        <w:tblW w:w="9176"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058"/>
        <w:gridCol w:w="3059"/>
        <w:gridCol w:w="3059"/>
      </w:tblGrid>
      <w:tr w:rsidR="00B3544F" w:rsidRPr="00ED714A" w14:paraId="72766362" w14:textId="77777777" w:rsidTr="00FE3FD4">
        <w:trPr>
          <w:trHeight w:val="374"/>
        </w:trPr>
        <w:tc>
          <w:tcPr>
            <w:tcW w:w="3058"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43B58BF1"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Categoria</w:t>
            </w:r>
          </w:p>
        </w:tc>
        <w:tc>
          <w:tcPr>
            <w:tcW w:w="3059"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26C66CCD"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Classificação</w:t>
            </w:r>
          </w:p>
        </w:tc>
        <w:tc>
          <w:tcPr>
            <w:tcW w:w="3059"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2548BC8E"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Critério</w:t>
            </w:r>
          </w:p>
        </w:tc>
      </w:tr>
      <w:tr w:rsidR="00B3544F" w:rsidRPr="00ED714A" w14:paraId="5CF9C43D" w14:textId="77777777" w:rsidTr="00FE3FD4">
        <w:trPr>
          <w:trHeight w:val="1108"/>
        </w:trPr>
        <w:tc>
          <w:tcPr>
            <w:tcW w:w="30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2CF9199"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ÓTIMA</w:t>
            </w:r>
          </w:p>
        </w:tc>
        <w:tc>
          <w:tcPr>
            <w:tcW w:w="30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011831C"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EXCELENTE em 100% do tempo</w:t>
            </w:r>
          </w:p>
        </w:tc>
        <w:tc>
          <w:tcPr>
            <w:tcW w:w="30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ADF8B8F"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Coliformes termotolerantes &lt; 250 ou E. coli &lt; 200 em 100% das amostras.</w:t>
            </w:r>
          </w:p>
        </w:tc>
      </w:tr>
      <w:tr w:rsidR="00B3544F" w:rsidRPr="00ED714A" w14:paraId="542124F0" w14:textId="77777777" w:rsidTr="00FE3FD4">
        <w:trPr>
          <w:trHeight w:val="1468"/>
        </w:trPr>
        <w:tc>
          <w:tcPr>
            <w:tcW w:w="30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4EA4973"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BOA</w:t>
            </w:r>
          </w:p>
        </w:tc>
        <w:tc>
          <w:tcPr>
            <w:tcW w:w="30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B10B331"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PRÓPRIA em 100% do tempo</w:t>
            </w:r>
          </w:p>
        </w:tc>
        <w:tc>
          <w:tcPr>
            <w:tcW w:w="30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AB746BA"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Coliformes termotolerantes &lt; 1.000 ou E. coli &lt; 800 em 100% das amostras, exceto a condição de ótima.</w:t>
            </w:r>
          </w:p>
        </w:tc>
      </w:tr>
      <w:tr w:rsidR="00B3544F" w:rsidRPr="00ED714A" w14:paraId="4524F73E" w14:textId="77777777" w:rsidTr="00FE3FD4">
        <w:trPr>
          <w:trHeight w:val="1122"/>
        </w:trPr>
        <w:tc>
          <w:tcPr>
            <w:tcW w:w="30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692DD16"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REGULAR</w:t>
            </w:r>
          </w:p>
        </w:tc>
        <w:tc>
          <w:tcPr>
            <w:tcW w:w="30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B385CED"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IMPRÓPRIA em menos de 50% do tempo</w:t>
            </w:r>
          </w:p>
        </w:tc>
        <w:tc>
          <w:tcPr>
            <w:tcW w:w="30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C51B1F5"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Coliformes termotolerantes &gt; 1.000 ou E. coli &gt; 800 em menos de 50% das amostras.</w:t>
            </w:r>
          </w:p>
        </w:tc>
      </w:tr>
      <w:tr w:rsidR="00B3544F" w:rsidRPr="00ED714A" w14:paraId="16AC8622" w14:textId="77777777" w:rsidTr="00FE3FD4">
        <w:trPr>
          <w:trHeight w:val="1108"/>
        </w:trPr>
        <w:tc>
          <w:tcPr>
            <w:tcW w:w="30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62DED4D"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lastRenderedPageBreak/>
              <w:t>IMPRÓPRIA</w:t>
            </w:r>
          </w:p>
        </w:tc>
        <w:tc>
          <w:tcPr>
            <w:tcW w:w="30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AF56C68"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IMPRÓPRIA em 50% ou mais do tempo</w:t>
            </w:r>
          </w:p>
        </w:tc>
        <w:tc>
          <w:tcPr>
            <w:tcW w:w="30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44C858E"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Coliformes termotolerantes &gt; 1.000 ou E. coli &gt; 800 em 50% ou mais das amostras.</w:t>
            </w:r>
          </w:p>
        </w:tc>
      </w:tr>
    </w:tbl>
    <w:p w14:paraId="73A28F41" w14:textId="77777777" w:rsidR="00B3544F" w:rsidRPr="008A5C0C" w:rsidRDefault="008A5C0C" w:rsidP="00B3544F">
      <w:pPr>
        <w:shd w:val="clear" w:color="auto" w:fill="FFFFFF" w:themeFill="background1"/>
        <w:spacing w:after="0" w:line="360" w:lineRule="auto"/>
        <w:jc w:val="center"/>
        <w:rPr>
          <w:rFonts w:ascii="Times New Roman" w:eastAsia="Times New Roman" w:hAnsi="Times New Roman" w:cs="Times New Roman"/>
          <w:i/>
          <w:iCs/>
          <w:color w:val="000000" w:themeColor="text1"/>
          <w:sz w:val="24"/>
          <w:szCs w:val="24"/>
          <w:lang w:val="pt-BR" w:eastAsia="pt-BR"/>
        </w:rPr>
      </w:pPr>
      <w:r w:rsidRPr="008A5C0C">
        <w:rPr>
          <w:rFonts w:ascii="Times New Roman" w:hAnsi="Times New Roman" w:cs="Times New Roman"/>
          <w:color w:val="000000"/>
          <w:sz w:val="24"/>
          <w:szCs w:val="24"/>
          <w:shd w:val="clear" w:color="auto" w:fill="FFFFFF"/>
        </w:rPr>
        <w:t>Adaptado da CETESB (2009)</w:t>
      </w:r>
      <w:r>
        <w:rPr>
          <w:rFonts w:ascii="Times New Roman" w:hAnsi="Times New Roman" w:cs="Times New Roman"/>
          <w:color w:val="000000"/>
          <w:sz w:val="24"/>
          <w:szCs w:val="24"/>
          <w:shd w:val="clear" w:color="auto" w:fill="FFFFFF"/>
        </w:rPr>
        <w:t>.</w:t>
      </w:r>
    </w:p>
    <w:p w14:paraId="3E5EA6B3"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p>
    <w:p w14:paraId="502E050E" w14:textId="77777777" w:rsidR="00B3544F" w:rsidRPr="006F30BF" w:rsidRDefault="00B3544F" w:rsidP="00B3544F">
      <w:pPr>
        <w:shd w:val="clear" w:color="auto" w:fill="FFFFFF" w:themeFill="background1"/>
        <w:spacing w:after="0" w:line="360" w:lineRule="auto"/>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3. RESULTADOS E DISCUSS</w:t>
      </w:r>
      <w:r w:rsidRPr="00ED714A">
        <w:rPr>
          <w:rFonts w:ascii="Times New Roman" w:eastAsia="Times New Roman" w:hAnsi="Times New Roman" w:cs="Times New Roman"/>
          <w:b/>
          <w:bCs/>
          <w:color w:val="000000" w:themeColor="text1"/>
          <w:sz w:val="24"/>
          <w:szCs w:val="24"/>
          <w:lang w:val="pt-BR" w:eastAsia="pt-BR"/>
        </w:rPr>
        <w:t>ÕES</w:t>
      </w:r>
    </w:p>
    <w:p w14:paraId="1084D6BC" w14:textId="7033A57D" w:rsidR="00B3544F" w:rsidRPr="00ED714A"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O crescimento ilimitado das comunidades sem um planejamento urbanístico tem trazido consequências para diversos corpos d’água no país, em especial pelo lançamento de efluentes sem tratamento e consequente contaminação. Esse parâmetro pode ser avaliado pelos níveis de coliformes fecais. No açude de Bodocongó, observaram-se valores superiores a 1.000 UFC/100 mL em 100% das amostras</w:t>
      </w:r>
      <w:r w:rsidR="00840288">
        <w:rPr>
          <w:rFonts w:ascii="Times New Roman" w:eastAsia="Times New Roman" w:hAnsi="Times New Roman" w:cs="Times New Roman"/>
          <w:color w:val="000000" w:themeColor="text1"/>
          <w:sz w:val="24"/>
          <w:szCs w:val="24"/>
          <w:lang w:val="pt-BR" w:eastAsia="pt-BR"/>
        </w:rPr>
        <w:t xml:space="preserve"> (Figura 2)</w:t>
      </w:r>
      <w:r w:rsidRPr="006F30BF">
        <w:rPr>
          <w:rFonts w:ascii="Times New Roman" w:eastAsia="Times New Roman" w:hAnsi="Times New Roman" w:cs="Times New Roman"/>
          <w:color w:val="000000" w:themeColor="text1"/>
          <w:sz w:val="24"/>
          <w:szCs w:val="24"/>
          <w:lang w:val="pt-BR" w:eastAsia="pt-BR"/>
        </w:rPr>
        <w:t>, permitindo classificar suas águas como impróprias para recreação.</w:t>
      </w:r>
    </w:p>
    <w:p w14:paraId="532EAC4F" w14:textId="77777777" w:rsidR="00B3544F" w:rsidRDefault="00B3544F" w:rsidP="00B3544F">
      <w:pPr>
        <w:shd w:val="clear" w:color="auto" w:fill="FFFFFF" w:themeFill="background1"/>
        <w:spacing w:after="0" w:line="360" w:lineRule="auto"/>
        <w:ind w:firstLine="340"/>
        <w:jc w:val="both"/>
        <w:rPr>
          <w:rFonts w:ascii="Times New Roman" w:eastAsia="Times New Roman" w:hAnsi="Times New Roman" w:cs="Times New Roman"/>
          <w:color w:val="000000" w:themeColor="text1"/>
          <w:sz w:val="24"/>
          <w:szCs w:val="24"/>
          <w:lang w:val="pt-BR" w:eastAsia="pt-BR"/>
        </w:rPr>
      </w:pPr>
      <w:r w:rsidRPr="00ED714A">
        <w:rPr>
          <w:noProof/>
          <w:sz w:val="24"/>
          <w:szCs w:val="24"/>
        </w:rPr>
        <w:drawing>
          <wp:inline distT="0" distB="0" distL="0" distR="0" wp14:anchorId="57F3D564" wp14:editId="404E4388">
            <wp:extent cx="4638044" cy="2825393"/>
            <wp:effectExtent l="0" t="0" r="0" b="0"/>
            <wp:docPr id="1" name="Imagem 1" descr="https://www.revistaea.org/img/campina28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vistaea.org/img/campina28_image00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2956" cy="2828385"/>
                    </a:xfrm>
                    <a:prstGeom prst="rect">
                      <a:avLst/>
                    </a:prstGeom>
                    <a:noFill/>
                    <a:ln>
                      <a:noFill/>
                    </a:ln>
                  </pic:spPr>
                </pic:pic>
              </a:graphicData>
            </a:graphic>
          </wp:inline>
        </w:drawing>
      </w:r>
    </w:p>
    <w:p w14:paraId="40952D83" w14:textId="5323565F" w:rsidR="008A5C0C" w:rsidRPr="008A5C0C" w:rsidRDefault="008A5C0C" w:rsidP="008A5C0C">
      <w:pPr>
        <w:shd w:val="clear" w:color="auto" w:fill="FFFFFF" w:themeFill="background1"/>
        <w:spacing w:after="0" w:line="360" w:lineRule="auto"/>
        <w:ind w:firstLine="340"/>
        <w:jc w:val="center"/>
        <w:rPr>
          <w:rFonts w:ascii="Times New Roman" w:hAnsi="Times New Roman" w:cs="Times New Roman"/>
          <w:color w:val="000000"/>
          <w:sz w:val="24"/>
          <w:szCs w:val="24"/>
          <w:shd w:val="clear" w:color="auto" w:fill="FFFFFF"/>
        </w:rPr>
      </w:pPr>
      <w:r w:rsidRPr="008A5C0C">
        <w:rPr>
          <w:rFonts w:ascii="Times New Roman" w:hAnsi="Times New Roman" w:cs="Times New Roman"/>
          <w:b/>
          <w:bCs/>
          <w:color w:val="000000"/>
          <w:sz w:val="24"/>
          <w:szCs w:val="24"/>
          <w:shd w:val="clear" w:color="auto" w:fill="FFFFFF"/>
        </w:rPr>
        <w:t xml:space="preserve">Figura </w:t>
      </w:r>
      <w:r w:rsidR="00840288">
        <w:rPr>
          <w:rFonts w:ascii="Times New Roman" w:hAnsi="Times New Roman" w:cs="Times New Roman"/>
          <w:b/>
          <w:bCs/>
          <w:color w:val="000000"/>
          <w:sz w:val="24"/>
          <w:szCs w:val="24"/>
          <w:shd w:val="clear" w:color="auto" w:fill="FFFFFF"/>
        </w:rPr>
        <w:t>2</w:t>
      </w:r>
      <w:r w:rsidRPr="008A5C0C">
        <w:rPr>
          <w:rFonts w:ascii="Times New Roman" w:hAnsi="Times New Roman" w:cs="Times New Roman"/>
          <w:b/>
          <w:bCs/>
          <w:color w:val="000000"/>
          <w:sz w:val="24"/>
          <w:szCs w:val="24"/>
          <w:shd w:val="clear" w:color="auto" w:fill="FFFFFF"/>
        </w:rPr>
        <w:t>:</w:t>
      </w:r>
      <w:r w:rsidRPr="008A5C0C">
        <w:rPr>
          <w:rFonts w:ascii="Times New Roman" w:hAnsi="Times New Roman" w:cs="Times New Roman"/>
          <w:color w:val="000000"/>
          <w:sz w:val="24"/>
          <w:szCs w:val="24"/>
          <w:shd w:val="clear" w:color="auto" w:fill="FFFFFF"/>
        </w:rPr>
        <w:t> </w:t>
      </w:r>
      <w:proofErr w:type="spellStart"/>
      <w:r w:rsidRPr="008A5C0C">
        <w:rPr>
          <w:rFonts w:ascii="Times New Roman" w:hAnsi="Times New Roman" w:cs="Times New Roman"/>
          <w:color w:val="000000"/>
          <w:sz w:val="24"/>
          <w:szCs w:val="24"/>
          <w:shd w:val="clear" w:color="auto" w:fill="FFFFFF"/>
        </w:rPr>
        <w:t>Classificação</w:t>
      </w:r>
      <w:proofErr w:type="spellEnd"/>
      <w:r w:rsidRPr="008A5C0C">
        <w:rPr>
          <w:rFonts w:ascii="Times New Roman" w:hAnsi="Times New Roman" w:cs="Times New Roman"/>
          <w:color w:val="000000"/>
          <w:sz w:val="24"/>
          <w:szCs w:val="24"/>
          <w:shd w:val="clear" w:color="auto" w:fill="FFFFFF"/>
        </w:rPr>
        <w:t xml:space="preserve"> das </w:t>
      </w:r>
      <w:proofErr w:type="spellStart"/>
      <w:r w:rsidRPr="008A5C0C">
        <w:rPr>
          <w:rFonts w:ascii="Times New Roman" w:hAnsi="Times New Roman" w:cs="Times New Roman"/>
          <w:color w:val="000000"/>
          <w:sz w:val="24"/>
          <w:szCs w:val="24"/>
          <w:shd w:val="clear" w:color="auto" w:fill="FFFFFF"/>
        </w:rPr>
        <w:t>águas</w:t>
      </w:r>
      <w:proofErr w:type="spellEnd"/>
      <w:r w:rsidRPr="008A5C0C">
        <w:rPr>
          <w:rFonts w:ascii="Times New Roman" w:hAnsi="Times New Roman" w:cs="Times New Roman"/>
          <w:color w:val="000000"/>
          <w:sz w:val="24"/>
          <w:szCs w:val="24"/>
          <w:shd w:val="clear" w:color="auto" w:fill="FFFFFF"/>
        </w:rPr>
        <w:t xml:space="preserve"> do açude Bodocongó,</w:t>
      </w:r>
      <w:r w:rsidR="00A858B7">
        <w:rPr>
          <w:rFonts w:ascii="Times New Roman" w:hAnsi="Times New Roman" w:cs="Times New Roman"/>
          <w:color w:val="000000"/>
          <w:sz w:val="24"/>
          <w:szCs w:val="24"/>
          <w:shd w:val="clear" w:color="auto" w:fill="FFFFFF"/>
        </w:rPr>
        <w:t xml:space="preserve"> </w:t>
      </w:r>
      <w:r w:rsidRPr="008A5C0C">
        <w:rPr>
          <w:rFonts w:ascii="Times New Roman" w:hAnsi="Times New Roman" w:cs="Times New Roman"/>
          <w:color w:val="000000"/>
          <w:sz w:val="24"/>
          <w:szCs w:val="24"/>
          <w:shd w:val="clear" w:color="auto" w:fill="FFFFFF"/>
        </w:rPr>
        <w:t>em quatro ponto amostrais, em Campina Grande-PB.</w:t>
      </w:r>
    </w:p>
    <w:p w14:paraId="35FFDA20" w14:textId="77777777" w:rsidR="008A5C0C" w:rsidRPr="006F30BF" w:rsidRDefault="008A5C0C" w:rsidP="00B3544F">
      <w:pPr>
        <w:shd w:val="clear" w:color="auto" w:fill="FFFFFF" w:themeFill="background1"/>
        <w:spacing w:after="0" w:line="360" w:lineRule="auto"/>
        <w:ind w:firstLine="340"/>
        <w:jc w:val="both"/>
        <w:rPr>
          <w:rFonts w:ascii="Times New Roman" w:eastAsia="Times New Roman" w:hAnsi="Times New Roman" w:cs="Times New Roman"/>
          <w:color w:val="000000" w:themeColor="text1"/>
          <w:sz w:val="24"/>
          <w:szCs w:val="24"/>
          <w:lang w:val="pt-BR" w:eastAsia="pt-BR"/>
        </w:rPr>
      </w:pPr>
    </w:p>
    <w:p w14:paraId="335FC7CE" w14:textId="4670BB66"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Os resultados referentes aos coliformes fecais mostraram elevadas variações espacia</w:t>
      </w:r>
      <w:r w:rsidR="00840288">
        <w:rPr>
          <w:rFonts w:ascii="Times New Roman" w:eastAsia="Times New Roman" w:hAnsi="Times New Roman" w:cs="Times New Roman"/>
          <w:color w:val="000000" w:themeColor="text1"/>
          <w:sz w:val="24"/>
          <w:szCs w:val="24"/>
          <w:lang w:val="pt-BR" w:eastAsia="pt-BR"/>
        </w:rPr>
        <w:t>is</w:t>
      </w:r>
      <w:r w:rsidRPr="006F30BF">
        <w:rPr>
          <w:rFonts w:ascii="Times New Roman" w:eastAsia="Times New Roman" w:hAnsi="Times New Roman" w:cs="Times New Roman"/>
          <w:color w:val="000000" w:themeColor="text1"/>
          <w:sz w:val="24"/>
          <w:szCs w:val="24"/>
          <w:lang w:val="pt-BR" w:eastAsia="pt-BR"/>
        </w:rPr>
        <w:t xml:space="preserve"> e tempor</w:t>
      </w:r>
      <w:r w:rsidR="00840288">
        <w:rPr>
          <w:rFonts w:ascii="Times New Roman" w:eastAsia="Times New Roman" w:hAnsi="Times New Roman" w:cs="Times New Roman"/>
          <w:color w:val="000000" w:themeColor="text1"/>
          <w:sz w:val="24"/>
          <w:szCs w:val="24"/>
          <w:lang w:val="pt-BR" w:eastAsia="pt-BR"/>
        </w:rPr>
        <w:t>ais</w:t>
      </w:r>
      <w:r w:rsidRPr="006F30BF">
        <w:rPr>
          <w:rFonts w:ascii="Times New Roman" w:eastAsia="Times New Roman" w:hAnsi="Times New Roman" w:cs="Times New Roman"/>
          <w:color w:val="000000" w:themeColor="text1"/>
          <w:sz w:val="24"/>
          <w:szCs w:val="24"/>
          <w:lang w:val="pt-BR" w:eastAsia="pt-BR"/>
        </w:rPr>
        <w:t xml:space="preserve"> ao longo do ciclo de estudo, oscilando entre 7,1 × 10⁶ e 3,8 × 10⁴ NMP/100 mL. O Ponto Um (PI) registrou as mais altas contagens para as duas épocas, comportamento semelhante também observado nos Pontos Dois (PII) e Três (PIII). Isto se deve, possivelmente, ao aporte de esgoto que o açude recebe de bairros circunvizinhos.</w:t>
      </w:r>
    </w:p>
    <w:p w14:paraId="7C80FCEE" w14:textId="280A9369" w:rsidR="00B3544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O Ponto Quatro apresentou valores mais baixos na estação seca e valores mais elevados na estação chuvosa,</w:t>
      </w:r>
      <w:r w:rsidR="00BB61EB">
        <w:rPr>
          <w:rFonts w:ascii="Times New Roman" w:eastAsia="Times New Roman" w:hAnsi="Times New Roman" w:cs="Times New Roman"/>
          <w:color w:val="000000" w:themeColor="text1"/>
          <w:sz w:val="24"/>
          <w:szCs w:val="24"/>
          <w:lang w:val="pt-BR" w:eastAsia="pt-BR"/>
        </w:rPr>
        <w:t xml:space="preserve"> conforme apresentado no quadro 3,</w:t>
      </w:r>
      <w:r w:rsidRPr="006F30BF">
        <w:rPr>
          <w:rFonts w:ascii="Times New Roman" w:eastAsia="Times New Roman" w:hAnsi="Times New Roman" w:cs="Times New Roman"/>
          <w:color w:val="000000" w:themeColor="text1"/>
          <w:sz w:val="24"/>
          <w:szCs w:val="24"/>
          <w:lang w:val="pt-BR" w:eastAsia="pt-BR"/>
        </w:rPr>
        <w:t xml:space="preserve"> possivelmente em função da </w:t>
      </w:r>
      <w:r w:rsidRPr="006F30BF">
        <w:rPr>
          <w:rFonts w:ascii="Times New Roman" w:eastAsia="Times New Roman" w:hAnsi="Times New Roman" w:cs="Times New Roman"/>
          <w:color w:val="000000" w:themeColor="text1"/>
          <w:sz w:val="24"/>
          <w:szCs w:val="24"/>
          <w:lang w:val="pt-BR" w:eastAsia="pt-BR"/>
        </w:rPr>
        <w:lastRenderedPageBreak/>
        <w:t>contribuição da drenagem da bacia, que carreou material fecal difuso. Ceballos (1995) e Diniz (2005), em estudos realizados neste mesmo açude, observaram comportamento semelhante, porém encontraram valores bem menores, de 5,0 × 10² a 6,0 × 10⁴ e de 4,1 × 10³ a 9,3 × 10⁴ NMP/100 mL, respectivamente. Ao comparar os três trabalhos, os autores apontaram evolução alarmante nos níveis de poluição deste recurso hídrico ao longo de doze anos.</w:t>
      </w:r>
    </w:p>
    <w:p w14:paraId="7B742128" w14:textId="77777777" w:rsidR="00F67A1F" w:rsidRPr="006F30BF" w:rsidRDefault="00F67A1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p>
    <w:p w14:paraId="3128EE8C" w14:textId="671388F9" w:rsidR="00B3544F" w:rsidRPr="00BB61EB" w:rsidRDefault="00BB61EB"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Pr>
          <w:rFonts w:ascii="Times New Roman" w:eastAsia="Times New Roman" w:hAnsi="Times New Roman" w:cs="Times New Roman"/>
          <w:b/>
          <w:bCs/>
          <w:color w:val="000000" w:themeColor="text1"/>
          <w:sz w:val="24"/>
          <w:szCs w:val="24"/>
          <w:lang w:val="pt-BR" w:eastAsia="pt-BR"/>
        </w:rPr>
        <w:t>Quadro</w:t>
      </w:r>
      <w:r w:rsidR="00B3544F" w:rsidRPr="006F30BF">
        <w:rPr>
          <w:rFonts w:ascii="Times New Roman" w:eastAsia="Times New Roman" w:hAnsi="Times New Roman" w:cs="Times New Roman"/>
          <w:b/>
          <w:bCs/>
          <w:color w:val="000000" w:themeColor="text1"/>
          <w:sz w:val="24"/>
          <w:szCs w:val="24"/>
          <w:lang w:val="pt-BR" w:eastAsia="pt-BR"/>
        </w:rPr>
        <w:t xml:space="preserve"> </w:t>
      </w:r>
      <w:r>
        <w:rPr>
          <w:rFonts w:ascii="Times New Roman" w:eastAsia="Times New Roman" w:hAnsi="Times New Roman" w:cs="Times New Roman"/>
          <w:b/>
          <w:bCs/>
          <w:color w:val="000000" w:themeColor="text1"/>
          <w:sz w:val="24"/>
          <w:szCs w:val="24"/>
          <w:lang w:val="pt-BR" w:eastAsia="pt-BR"/>
        </w:rPr>
        <w:t>3</w:t>
      </w:r>
      <w:r w:rsidR="00B3544F" w:rsidRPr="006F30BF">
        <w:rPr>
          <w:rFonts w:ascii="Times New Roman" w:eastAsia="Times New Roman" w:hAnsi="Times New Roman" w:cs="Times New Roman"/>
          <w:b/>
          <w:bCs/>
          <w:color w:val="000000" w:themeColor="text1"/>
          <w:sz w:val="24"/>
          <w:szCs w:val="24"/>
          <w:lang w:val="pt-BR" w:eastAsia="pt-BR"/>
        </w:rPr>
        <w:t xml:space="preserve">. </w:t>
      </w:r>
      <w:r w:rsidR="00B3544F" w:rsidRPr="00BB61EB">
        <w:rPr>
          <w:rFonts w:ascii="Times New Roman" w:eastAsia="Times New Roman" w:hAnsi="Times New Roman" w:cs="Times New Roman"/>
          <w:bCs/>
          <w:color w:val="000000" w:themeColor="text1"/>
          <w:sz w:val="24"/>
          <w:szCs w:val="24"/>
          <w:lang w:val="pt-BR" w:eastAsia="pt-BR"/>
        </w:rPr>
        <w:t>Número Mais Provável de coliformes fecais nos quatro pontos de coleta – CF (NMP/100 mL).</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1814"/>
        <w:gridCol w:w="1809"/>
        <w:gridCol w:w="1809"/>
        <w:gridCol w:w="1809"/>
        <w:gridCol w:w="1809"/>
      </w:tblGrid>
      <w:tr w:rsidR="00B3544F" w:rsidRPr="00ED714A" w14:paraId="082A8555" w14:textId="77777777" w:rsidTr="00DA23FF">
        <w:tc>
          <w:tcPr>
            <w:tcW w:w="1814"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0A5443CF"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Mês</w:t>
            </w:r>
          </w:p>
        </w:tc>
        <w:tc>
          <w:tcPr>
            <w:tcW w:w="1814"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5DBA1298"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PI</w:t>
            </w:r>
          </w:p>
        </w:tc>
        <w:tc>
          <w:tcPr>
            <w:tcW w:w="1814"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46684C7A"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PII</w:t>
            </w:r>
          </w:p>
        </w:tc>
        <w:tc>
          <w:tcPr>
            <w:tcW w:w="1814"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2A4AB672"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PIII</w:t>
            </w:r>
          </w:p>
        </w:tc>
        <w:tc>
          <w:tcPr>
            <w:tcW w:w="1814" w:type="dxa"/>
            <w:tcBorders>
              <w:top w:val="single" w:sz="8" w:space="0" w:color="000000"/>
              <w:left w:val="single" w:sz="8" w:space="0" w:color="000000"/>
              <w:bottom w:val="single" w:sz="8" w:space="0" w:color="000000"/>
              <w:right w:val="single" w:sz="8" w:space="0" w:color="000000"/>
            </w:tcBorders>
            <w:shd w:val="clear" w:color="auto" w:fill="E7E6E6"/>
            <w:tcMar>
              <w:top w:w="0" w:type="dxa"/>
              <w:left w:w="0" w:type="dxa"/>
              <w:bottom w:w="0" w:type="dxa"/>
              <w:right w:w="0" w:type="dxa"/>
            </w:tcMar>
            <w:vAlign w:val="center"/>
            <w:hideMark/>
          </w:tcPr>
          <w:p w14:paraId="0F45E9E4"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PIV</w:t>
            </w:r>
          </w:p>
        </w:tc>
      </w:tr>
      <w:tr w:rsidR="00B3544F" w:rsidRPr="00ED714A" w14:paraId="5D653ED9" w14:textId="77777777" w:rsidTr="00DA23FF">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249B584"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Dezembro/2006</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0C5662A"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7,1 × 10⁶</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FED3198"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3,6 × 10⁶</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9949A56"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4,8 × 10⁵</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4F1DAD7"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3,8 × 10⁴</w:t>
            </w:r>
          </w:p>
        </w:tc>
      </w:tr>
      <w:tr w:rsidR="00B3544F" w:rsidRPr="00ED714A" w14:paraId="05224062" w14:textId="77777777" w:rsidTr="00DA23FF">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028F562"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Janeiro/2007</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E5A6F52"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7,0 × 10⁶</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E6D518A"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1,5 × 10⁶</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2DDF02E"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2,3 × 10⁵</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753CE69"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8,3 × 10⁴</w:t>
            </w:r>
          </w:p>
        </w:tc>
      </w:tr>
      <w:tr w:rsidR="00B3544F" w:rsidRPr="00ED714A" w14:paraId="0F4DB63E" w14:textId="77777777" w:rsidTr="00DA23FF">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E0C967E"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Fevereiro/2007</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3F61DAB"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6,9 × 10⁶</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3DCDDF2"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1,6 × 10⁶</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B3B68ED"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2,7 × 10⁵</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1352809"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1,0 × 10⁵</w:t>
            </w:r>
          </w:p>
        </w:tc>
      </w:tr>
      <w:tr w:rsidR="00B3544F" w:rsidRPr="00ED714A" w14:paraId="17B843F1" w14:textId="77777777" w:rsidTr="00DA23FF">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3551B40"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Março/2007</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3033EF7"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6,5 × 10⁶</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E9365F8"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2,1 × 10⁶</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7BBA593"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2,8 × 10⁵</w:t>
            </w:r>
          </w:p>
        </w:tc>
        <w:tc>
          <w:tcPr>
            <w:tcW w:w="18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4CBC103" w14:textId="77777777" w:rsidR="00B3544F" w:rsidRPr="006F30BF" w:rsidRDefault="00B3544F" w:rsidP="00B3544F">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1,2 × 10⁵</w:t>
            </w:r>
          </w:p>
        </w:tc>
      </w:tr>
    </w:tbl>
    <w:p w14:paraId="131342B4" w14:textId="77777777" w:rsidR="008A5C0C" w:rsidRDefault="008A5C0C" w:rsidP="00B3544F">
      <w:pPr>
        <w:shd w:val="clear" w:color="auto" w:fill="FFFFFF" w:themeFill="background1"/>
        <w:spacing w:after="0" w:line="360" w:lineRule="auto"/>
        <w:ind w:firstLine="340"/>
        <w:jc w:val="both"/>
        <w:rPr>
          <w:rFonts w:ascii="Times New Roman" w:eastAsia="Times New Roman" w:hAnsi="Times New Roman" w:cs="Times New Roman"/>
          <w:i/>
          <w:iCs/>
          <w:color w:val="000000" w:themeColor="text1"/>
          <w:sz w:val="24"/>
          <w:szCs w:val="24"/>
          <w:lang w:val="pt-BR" w:eastAsia="pt-BR"/>
        </w:rPr>
      </w:pPr>
    </w:p>
    <w:p w14:paraId="64F2B82C"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Os elevados índices de coliformes verificados expõem a população que usa o açude para lazer a sérios riscos de doenças, visto que é prática comum, em vários pontos do açude, adultos e crianças utilizarem suas águas para fins recreativos sem orientação por parte do poder público.</w:t>
      </w:r>
    </w:p>
    <w:p w14:paraId="4E906672" w14:textId="77777777" w:rsidR="00B3544F" w:rsidRPr="00ED714A"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A Resolução CONAMA nº 274/2000 estabelece, em seu artigo 2º, parágrafo 2º, alínea c, que uma água é própria para lazer de contato primário quando, em 80% ou mais de um conjunto de amostras obtidas e colhidas no mesmo local, houver no máximo 1.000 coliformes fecais (termotolerantes), índice que sempre foi ultrapassado durante toda a pesquisa.</w:t>
      </w:r>
    </w:p>
    <w:p w14:paraId="14B703ED" w14:textId="77777777" w:rsidR="00B3544F" w:rsidRDefault="00B3544F" w:rsidP="00B3544F">
      <w:pPr>
        <w:shd w:val="clear" w:color="auto" w:fill="FFFFFF" w:themeFill="background1"/>
        <w:spacing w:after="0" w:line="360" w:lineRule="auto"/>
        <w:ind w:firstLine="340"/>
        <w:jc w:val="both"/>
        <w:rPr>
          <w:rFonts w:ascii="Times New Roman" w:eastAsia="Times New Roman" w:hAnsi="Times New Roman" w:cs="Times New Roman"/>
          <w:color w:val="000000" w:themeColor="text1"/>
          <w:sz w:val="24"/>
          <w:szCs w:val="24"/>
          <w:lang w:val="pt-BR" w:eastAsia="pt-BR"/>
        </w:rPr>
      </w:pPr>
    </w:p>
    <w:p w14:paraId="4C1E4CC6" w14:textId="77777777" w:rsidR="008A5C0C" w:rsidRPr="006F30BF" w:rsidRDefault="008A5C0C" w:rsidP="00B3544F">
      <w:pPr>
        <w:shd w:val="clear" w:color="auto" w:fill="FFFFFF" w:themeFill="background1"/>
        <w:spacing w:after="0" w:line="360" w:lineRule="auto"/>
        <w:ind w:firstLine="340"/>
        <w:jc w:val="both"/>
        <w:rPr>
          <w:rFonts w:ascii="Times New Roman" w:eastAsia="Times New Roman" w:hAnsi="Times New Roman" w:cs="Times New Roman"/>
          <w:color w:val="000000" w:themeColor="text1"/>
          <w:sz w:val="24"/>
          <w:szCs w:val="24"/>
          <w:lang w:val="pt-BR" w:eastAsia="pt-BR"/>
        </w:rPr>
      </w:pPr>
    </w:p>
    <w:p w14:paraId="4174322E" w14:textId="77777777" w:rsidR="00B3544F" w:rsidRPr="006F30BF" w:rsidRDefault="00B3544F" w:rsidP="00B3544F">
      <w:pPr>
        <w:shd w:val="clear" w:color="auto" w:fill="FFFFFF" w:themeFill="background1"/>
        <w:spacing w:after="0" w:line="360" w:lineRule="auto"/>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4. CONCLUSÃO</w:t>
      </w:r>
    </w:p>
    <w:p w14:paraId="21B5D7EB"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1. As análises demonstraram que as águas do açude não atenderam aos padrões de qualidade determinados pela Resolução nº 274/2000 do Conselho Nacional do Meio Ambiente (CONAMA) para fins de balneabilidade.</w:t>
      </w:r>
    </w:p>
    <w:p w14:paraId="5829179B" w14:textId="77777777" w:rsidR="00B3544F" w:rsidRPr="006F30BF"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2. O lançamento de esgoto doméstico sem tratamento é a principal fonte de poluição das águas do açude, aliado à disposição inadequada de resíduos sólidos.</w:t>
      </w:r>
    </w:p>
    <w:p w14:paraId="3B7B68DB" w14:textId="77777777" w:rsidR="00B3544F" w:rsidRPr="00ED714A" w:rsidRDefault="00B3544F" w:rsidP="00FE3FD4">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 xml:space="preserve">3. A ausência de políticas públicas e a omissão dos poderes públicos contribuem significativamente para a intensificação dos riscos de doenças da população que usa o açude. Isso poderia ser evitado se o Poder Público orientasse a população a não utilizar as águas do </w:t>
      </w:r>
      <w:r w:rsidRPr="006F30BF">
        <w:rPr>
          <w:rFonts w:ascii="Times New Roman" w:eastAsia="Times New Roman" w:hAnsi="Times New Roman" w:cs="Times New Roman"/>
          <w:color w:val="000000" w:themeColor="text1"/>
          <w:sz w:val="24"/>
          <w:szCs w:val="24"/>
          <w:lang w:val="pt-BR" w:eastAsia="pt-BR"/>
        </w:rPr>
        <w:lastRenderedPageBreak/>
        <w:t>açude para recreação, por meio de campanhas educativas e sinalização com placas indicadoras de qualidade.</w:t>
      </w:r>
    </w:p>
    <w:p w14:paraId="08726158" w14:textId="77777777" w:rsidR="008A5C0C" w:rsidRPr="006F30BF" w:rsidRDefault="008A5C0C" w:rsidP="00B3544F">
      <w:pPr>
        <w:shd w:val="clear" w:color="auto" w:fill="FFFFFF" w:themeFill="background1"/>
        <w:spacing w:after="0" w:line="360" w:lineRule="auto"/>
        <w:ind w:firstLine="340"/>
        <w:jc w:val="both"/>
        <w:rPr>
          <w:rFonts w:ascii="Times New Roman" w:eastAsia="Times New Roman" w:hAnsi="Times New Roman" w:cs="Times New Roman"/>
          <w:color w:val="000000" w:themeColor="text1"/>
          <w:sz w:val="24"/>
          <w:szCs w:val="24"/>
          <w:lang w:val="pt-BR" w:eastAsia="pt-BR"/>
        </w:rPr>
      </w:pPr>
    </w:p>
    <w:p w14:paraId="270D20E5" w14:textId="77777777" w:rsidR="00B3544F" w:rsidRPr="00ED714A" w:rsidRDefault="00B3544F" w:rsidP="00B3544F">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pt-BR" w:eastAsia="pt-BR"/>
        </w:rPr>
      </w:pPr>
      <w:r w:rsidRPr="006F30BF">
        <w:rPr>
          <w:rFonts w:ascii="Times New Roman" w:eastAsia="Times New Roman" w:hAnsi="Times New Roman" w:cs="Times New Roman"/>
          <w:b/>
          <w:bCs/>
          <w:color w:val="000000" w:themeColor="text1"/>
          <w:sz w:val="24"/>
          <w:szCs w:val="24"/>
          <w:lang w:val="pt-BR" w:eastAsia="pt-BR"/>
        </w:rPr>
        <w:t>REFERÊNCIAS</w:t>
      </w:r>
    </w:p>
    <w:p w14:paraId="3DB3C64F" w14:textId="77777777" w:rsidR="00ED714A" w:rsidRPr="006F30BF" w:rsidRDefault="00ED714A" w:rsidP="00EE68E8">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lang w:val="pt-BR" w:eastAsia="pt-BR"/>
        </w:rPr>
      </w:pPr>
    </w:p>
    <w:p w14:paraId="34CBABBA" w14:textId="77777777" w:rsidR="00B3544F" w:rsidRPr="006F30BF" w:rsidRDefault="00B3544F" w:rsidP="00EE68E8">
      <w:pPr>
        <w:shd w:val="clear" w:color="auto" w:fill="FFFFFF" w:themeFill="background1"/>
        <w:spacing w:after="0" w:line="240" w:lineRule="auto"/>
        <w:ind w:left="680" w:hanging="680"/>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ALVES, Marina Gumiere. Bactérias na água de abastecimento da cidade de Piracicaba. 2007. 102 f. Dissertação (Mestrado em Agronomia) – Escola Superior de Agricultura Luiz de Queiroz (ESALQ), Piracicaba, 2007.</w:t>
      </w:r>
    </w:p>
    <w:p w14:paraId="0487CF0C" w14:textId="77777777" w:rsidR="00B3544F" w:rsidRPr="006F30BF" w:rsidRDefault="00B3544F" w:rsidP="00EE68E8">
      <w:pPr>
        <w:shd w:val="clear" w:color="auto" w:fill="FFFFFF" w:themeFill="background1"/>
        <w:spacing w:after="0" w:line="240" w:lineRule="auto"/>
        <w:ind w:left="680" w:hanging="680"/>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APHA – American Public Health Association. Standard methods for the examination of water and wastewater. 19. ed. Washington, D.C.: APHA-AWWA-WPCF, 1995.</w:t>
      </w:r>
    </w:p>
    <w:p w14:paraId="691EB5FB" w14:textId="77777777" w:rsidR="00B3544F" w:rsidRPr="006F30BF" w:rsidRDefault="00B3544F" w:rsidP="00EE68E8">
      <w:pPr>
        <w:shd w:val="clear" w:color="auto" w:fill="FFFFFF" w:themeFill="background1"/>
        <w:spacing w:after="0" w:line="240" w:lineRule="auto"/>
        <w:ind w:left="680" w:hanging="680"/>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CETESB – Companhia de Tecnologia de Saneamento Ambiental do Estado de São Paulo. Índice de balneabilidade. 2009.</w:t>
      </w:r>
    </w:p>
    <w:p w14:paraId="5A3847FB" w14:textId="77777777" w:rsidR="00B3544F" w:rsidRPr="006F30BF" w:rsidRDefault="00B3544F" w:rsidP="00EE68E8">
      <w:pPr>
        <w:shd w:val="clear" w:color="auto" w:fill="FFFFFF" w:themeFill="background1"/>
        <w:spacing w:after="0" w:line="240" w:lineRule="auto"/>
        <w:ind w:left="680" w:hanging="680"/>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CONSELHO NACIONAL DO MEIO AMBIENTE. Resolução nº 274, de 29 de novembro de 2000: dispõe sobre os critérios de balneabilidade em águas brasileiras. Brasília, DF,</w:t>
      </w:r>
      <w:r w:rsidR="00EE68E8">
        <w:rPr>
          <w:rFonts w:ascii="Times New Roman" w:eastAsia="Times New Roman" w:hAnsi="Times New Roman" w:cs="Times New Roman"/>
          <w:color w:val="000000" w:themeColor="text1"/>
          <w:sz w:val="24"/>
          <w:szCs w:val="24"/>
          <w:lang w:val="pt-BR" w:eastAsia="pt-BR"/>
        </w:rPr>
        <w:t xml:space="preserve"> </w:t>
      </w:r>
      <w:r w:rsidRPr="006F30BF">
        <w:rPr>
          <w:rFonts w:ascii="Times New Roman" w:eastAsia="Times New Roman" w:hAnsi="Times New Roman" w:cs="Times New Roman"/>
          <w:color w:val="000000" w:themeColor="text1"/>
          <w:sz w:val="24"/>
          <w:szCs w:val="24"/>
          <w:lang w:val="pt-BR" w:eastAsia="pt-BR"/>
        </w:rPr>
        <w:t>2000.</w:t>
      </w:r>
    </w:p>
    <w:p w14:paraId="3C2E544E" w14:textId="77777777" w:rsidR="00B3544F" w:rsidRPr="006F30BF" w:rsidRDefault="00B3544F" w:rsidP="00EE68E8">
      <w:pPr>
        <w:shd w:val="clear" w:color="auto" w:fill="FFFFFF" w:themeFill="background1"/>
        <w:spacing w:after="0" w:line="240" w:lineRule="auto"/>
        <w:ind w:left="680" w:hanging="680"/>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FALKENMARK, M. Water cycle and people: water for feeding humanity. Land Use and Water Resources Research, v. 3, p. 3.1–3.4, 2003.</w:t>
      </w:r>
    </w:p>
    <w:p w14:paraId="5865124B" w14:textId="77777777" w:rsidR="00B3544F" w:rsidRPr="006F30BF" w:rsidRDefault="00B3544F" w:rsidP="00EE68E8">
      <w:pPr>
        <w:shd w:val="clear" w:color="auto" w:fill="FFFFFF" w:themeFill="background1"/>
        <w:spacing w:after="0" w:line="240" w:lineRule="auto"/>
        <w:ind w:left="680" w:hanging="680"/>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GOOGLE EARTH. Campina Grande. 2008.</w:t>
      </w:r>
    </w:p>
    <w:p w14:paraId="387BBEE8" w14:textId="77777777" w:rsidR="00B3544F" w:rsidRDefault="00B3544F" w:rsidP="00EE68E8">
      <w:pPr>
        <w:shd w:val="clear" w:color="auto" w:fill="FFFFFF" w:themeFill="background1"/>
        <w:spacing w:after="0" w:line="240" w:lineRule="auto"/>
        <w:ind w:left="680" w:hanging="680"/>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IBGE – Instituto Brasileiro de Geografia e Estatística. Dados estatísticos do município de Campina Grande/PB. 2009.</w:t>
      </w:r>
    </w:p>
    <w:p w14:paraId="7E57A730" w14:textId="77777777" w:rsidR="00ED714A" w:rsidRPr="006F30BF" w:rsidRDefault="00ED714A" w:rsidP="00EE68E8">
      <w:pPr>
        <w:shd w:val="clear" w:color="auto" w:fill="FFFFFF" w:themeFill="background1"/>
        <w:spacing w:after="0" w:line="240" w:lineRule="auto"/>
        <w:ind w:left="851" w:hanging="851"/>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MOTA, S. Introdução à engenharia ambiental. 1. ed. Rio de Janeiro: ABES, 1997.</w:t>
      </w:r>
    </w:p>
    <w:p w14:paraId="03B5E5A3" w14:textId="77777777" w:rsidR="00ED714A" w:rsidRPr="006F30BF" w:rsidRDefault="00ED714A" w:rsidP="00ED714A">
      <w:pPr>
        <w:shd w:val="clear" w:color="auto" w:fill="FFFFFF" w:themeFill="background1"/>
        <w:spacing w:after="0" w:line="240" w:lineRule="auto"/>
        <w:ind w:left="851" w:hanging="851"/>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ODDÓ, D. B. Infecciones por amebas de vida libre. Comentarios históricos, taxonomía y nomenclatura, protozoología y cuadros anátomo-clínicos. Revista Chilena de Infectología, v. 23, n. 3, Santiago, 2006.</w:t>
      </w:r>
    </w:p>
    <w:p w14:paraId="743741CE" w14:textId="77777777" w:rsidR="00ED714A" w:rsidRPr="006F30BF" w:rsidRDefault="00ED714A" w:rsidP="00ED714A">
      <w:pPr>
        <w:shd w:val="clear" w:color="auto" w:fill="FFFFFF" w:themeFill="background1"/>
        <w:spacing w:after="0" w:line="240" w:lineRule="auto"/>
        <w:ind w:left="851" w:hanging="851"/>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PMCG – Prefeitura Municipal de Campina Grande. A cidade. 2007.</w:t>
      </w:r>
    </w:p>
    <w:p w14:paraId="06E46065" w14:textId="77777777" w:rsidR="00ED714A" w:rsidRPr="006F30BF" w:rsidRDefault="00ED714A" w:rsidP="00ED714A">
      <w:pPr>
        <w:shd w:val="clear" w:color="auto" w:fill="FFFFFF" w:themeFill="background1"/>
        <w:spacing w:after="0" w:line="240" w:lineRule="auto"/>
        <w:ind w:left="851" w:hanging="851"/>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PORTO, M. F. A. Estabelecimento de parâmetros de controle da poluição. In: PORTO, R. L. L.; BRANCO, S. M.; CLEARY, R. W. et al. Hidrologia ambiental. São Paulo: Edusp; Associação Brasileira de Recursos Hídricos, v. 3, 1991.</w:t>
      </w:r>
    </w:p>
    <w:p w14:paraId="0252AD2E" w14:textId="77777777" w:rsidR="00ED714A" w:rsidRPr="006F30BF" w:rsidRDefault="00ED714A" w:rsidP="00ED714A">
      <w:pPr>
        <w:shd w:val="clear" w:color="auto" w:fill="FFFFFF" w:themeFill="background1"/>
        <w:spacing w:after="0" w:line="240" w:lineRule="auto"/>
        <w:ind w:left="851" w:hanging="851"/>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STRIEDER, M. N.; RONCHI, L. H.; STENERT, C.; SCHERER, R. T.; NEISS, U. G. Medidas biológicas e índices de qualidade da água de uma microbacia com poluição urbana e de curtumes no Sul do Brasil. Acta Biologica Leopoldensia, 2006.</w:t>
      </w:r>
    </w:p>
    <w:p w14:paraId="38CA70D0" w14:textId="77777777" w:rsidR="00ED714A" w:rsidRPr="006F30BF" w:rsidRDefault="00ED714A" w:rsidP="00ED714A">
      <w:pPr>
        <w:shd w:val="clear" w:color="auto" w:fill="FFFFFF" w:themeFill="background1"/>
        <w:spacing w:after="0" w:line="240" w:lineRule="auto"/>
        <w:ind w:left="851" w:hanging="851"/>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TAVARES, T. M.; CARDOSO, D. D. P.; DIEDERICHSEN, W. M. E. Vírus entéricos veiculados por água: aspectos microbiológicos e de controle de qualidade da água. Revista de Patologia Tropical, v. 34, n. 2, p. 85-104, maio-ago. 2005.</w:t>
      </w:r>
    </w:p>
    <w:p w14:paraId="4956B0C2" w14:textId="77777777" w:rsidR="00ED714A" w:rsidRPr="006F30BF" w:rsidRDefault="00ED714A" w:rsidP="00ED714A">
      <w:pPr>
        <w:shd w:val="clear" w:color="auto" w:fill="FFFFFF" w:themeFill="background1"/>
        <w:spacing w:after="0" w:line="240" w:lineRule="auto"/>
        <w:ind w:left="851" w:hanging="851"/>
        <w:jc w:val="both"/>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WHO – World Health Organization. Guidelines for safe recreational water environments: coastal and fresh waters. v. 1. Geneva: WHO, 2003.</w:t>
      </w:r>
    </w:p>
    <w:p w14:paraId="1DC7E11D" w14:textId="77777777" w:rsidR="00ED714A" w:rsidRPr="006F30BF" w:rsidRDefault="00ED714A" w:rsidP="00ED714A">
      <w:pPr>
        <w:shd w:val="clear" w:color="auto" w:fill="FFFFFF" w:themeFill="background1"/>
        <w:spacing w:after="0" w:line="240" w:lineRule="auto"/>
        <w:ind w:left="851" w:hanging="851"/>
        <w:rPr>
          <w:rFonts w:ascii="Times New Roman" w:eastAsia="Times New Roman" w:hAnsi="Times New Roman" w:cs="Times New Roman"/>
          <w:color w:val="000000" w:themeColor="text1"/>
          <w:sz w:val="24"/>
          <w:szCs w:val="24"/>
          <w:lang w:val="pt-BR" w:eastAsia="pt-BR"/>
        </w:rPr>
      </w:pPr>
      <w:r w:rsidRPr="006F30BF">
        <w:rPr>
          <w:rFonts w:ascii="Times New Roman" w:eastAsia="Times New Roman" w:hAnsi="Times New Roman" w:cs="Times New Roman"/>
          <w:color w:val="000000" w:themeColor="text1"/>
          <w:sz w:val="24"/>
          <w:szCs w:val="24"/>
          <w:lang w:val="pt-BR" w:eastAsia="pt-BR"/>
        </w:rPr>
        <w:t>WHO – World Health Organization. Guidelines for drinking-water quality: incorporating first addendum. v. 1. Recommendations. 3. ed. Geneva: WHO, 2006</w:t>
      </w:r>
    </w:p>
    <w:p w14:paraId="1813D8D3" w14:textId="77777777" w:rsidR="00B3544F" w:rsidRPr="00ED714A" w:rsidRDefault="00B3544F" w:rsidP="00ED714A">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lang w:val="pt-BR" w:eastAsia="pt-BR"/>
        </w:rPr>
      </w:pPr>
    </w:p>
    <w:p w14:paraId="4C71CE79" w14:textId="77777777" w:rsidR="006400AB" w:rsidRPr="00ED714A" w:rsidRDefault="006400AB">
      <w:pPr>
        <w:rPr>
          <w:rFonts w:ascii="Times New Roman" w:hAnsi="Times New Roman" w:cs="Times New Roman"/>
          <w:sz w:val="24"/>
          <w:szCs w:val="24"/>
        </w:rPr>
      </w:pPr>
    </w:p>
    <w:sectPr w:rsidR="006400AB" w:rsidRPr="00ED714A" w:rsidSect="00AD58D5">
      <w:headerReference w:type="default" r:id="rId9"/>
      <w:footerReference w:type="default" r:id="rId10"/>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E25CD" w14:textId="77777777" w:rsidR="00897495" w:rsidRDefault="00897495" w:rsidP="00FE3FD4">
      <w:pPr>
        <w:spacing w:after="0" w:line="240" w:lineRule="auto"/>
      </w:pPr>
      <w:r>
        <w:separator/>
      </w:r>
    </w:p>
  </w:endnote>
  <w:endnote w:type="continuationSeparator" w:id="0">
    <w:p w14:paraId="7442462D" w14:textId="77777777" w:rsidR="00897495" w:rsidRDefault="00897495" w:rsidP="00FE3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298747"/>
      <w:docPartObj>
        <w:docPartGallery w:val="Page Numbers (Bottom of Page)"/>
        <w:docPartUnique/>
      </w:docPartObj>
    </w:sdtPr>
    <w:sdtEndPr/>
    <w:sdtContent>
      <w:p w14:paraId="5CB099E0" w14:textId="77777777" w:rsidR="002E5AAF" w:rsidRDefault="00F67A1F">
        <w:pPr>
          <w:pStyle w:val="Rodap"/>
          <w:jc w:val="right"/>
        </w:pPr>
        <w:r>
          <w:fldChar w:fldCharType="begin"/>
        </w:r>
        <w:r>
          <w:instrText>PAGE   \* MERGEFORMAT</w:instrText>
        </w:r>
        <w:r>
          <w:fldChar w:fldCharType="separate"/>
        </w:r>
        <w:r w:rsidRPr="00214258">
          <w:rPr>
            <w:noProof/>
            <w:lang w:val="es-ES"/>
          </w:rPr>
          <w:t>5</w:t>
        </w:r>
        <w:r>
          <w:fldChar w:fldCharType="end"/>
        </w:r>
      </w:p>
    </w:sdtContent>
  </w:sdt>
  <w:p w14:paraId="7E0C0C0D" w14:textId="77777777" w:rsidR="002E5AAF" w:rsidRDefault="0089749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8AD81" w14:textId="77777777" w:rsidR="00897495" w:rsidRDefault="00897495" w:rsidP="00FE3FD4">
      <w:pPr>
        <w:spacing w:after="0" w:line="240" w:lineRule="auto"/>
      </w:pPr>
      <w:r>
        <w:separator/>
      </w:r>
    </w:p>
  </w:footnote>
  <w:footnote w:type="continuationSeparator" w:id="0">
    <w:p w14:paraId="54EF3F4D" w14:textId="77777777" w:rsidR="00897495" w:rsidRDefault="00897495" w:rsidP="00FE3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BAF6F" w14:textId="7E652CEC" w:rsidR="00D62DF2" w:rsidRDefault="00D62DF2">
    <w:pPr>
      <w:pStyle w:val="Cabealho"/>
    </w:pPr>
    <w:r>
      <w:rPr>
        <w:rFonts w:eastAsia="Calibri"/>
        <w:noProof/>
        <w:lang w:val="pt-BR" w:eastAsia="pt-BR"/>
      </w:rPr>
      <w:drawing>
        <wp:anchor distT="0" distB="0" distL="114300" distR="114300" simplePos="0" relativeHeight="251659264" behindDoc="1" locked="0" layoutInCell="1" allowOverlap="1" wp14:anchorId="0A794316" wp14:editId="535E4334">
          <wp:simplePos x="0" y="0"/>
          <wp:positionH relativeFrom="column">
            <wp:posOffset>-885825</wp:posOffset>
          </wp:positionH>
          <wp:positionV relativeFrom="paragraph">
            <wp:posOffset>-448310</wp:posOffset>
          </wp:positionV>
          <wp:extent cx="4326255" cy="833755"/>
          <wp:effectExtent l="0" t="0" r="0" b="4445"/>
          <wp:wrapTight wrapText="bothSides">
            <wp:wrapPolygon edited="0">
              <wp:start x="0" y="0"/>
              <wp:lineTo x="0" y="21222"/>
              <wp:lineTo x="21495" y="21222"/>
              <wp:lineTo x="21495"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sir_logo_horizontal_branca_fundo-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6255" cy="83375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44F"/>
    <w:rsid w:val="00031108"/>
    <w:rsid w:val="00043FE5"/>
    <w:rsid w:val="000F792B"/>
    <w:rsid w:val="00123F57"/>
    <w:rsid w:val="006400AB"/>
    <w:rsid w:val="00733425"/>
    <w:rsid w:val="007A3497"/>
    <w:rsid w:val="00840288"/>
    <w:rsid w:val="00897495"/>
    <w:rsid w:val="008A5C0C"/>
    <w:rsid w:val="00A55AA4"/>
    <w:rsid w:val="00A858B7"/>
    <w:rsid w:val="00B3544F"/>
    <w:rsid w:val="00BB61EB"/>
    <w:rsid w:val="00BE3C98"/>
    <w:rsid w:val="00D62DF2"/>
    <w:rsid w:val="00DE3F76"/>
    <w:rsid w:val="00EA4C6F"/>
    <w:rsid w:val="00ED714A"/>
    <w:rsid w:val="00EE68E8"/>
    <w:rsid w:val="00F67A1F"/>
    <w:rsid w:val="00F93F69"/>
    <w:rsid w:val="00FE3F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890D"/>
  <w15:chartTrackingRefBased/>
  <w15:docId w15:val="{FD5D2641-545F-48AE-95EE-C598D7EC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44F"/>
    <w:rPr>
      <w:lang w:val="es-E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3544F"/>
    <w:pPr>
      <w:tabs>
        <w:tab w:val="center" w:pos="4513"/>
        <w:tab w:val="right" w:pos="9026"/>
      </w:tabs>
      <w:spacing w:after="0" w:line="240" w:lineRule="auto"/>
    </w:pPr>
    <w:rPr>
      <w:lang w:val="en-US"/>
    </w:rPr>
  </w:style>
  <w:style w:type="character" w:customStyle="1" w:styleId="CabealhoChar">
    <w:name w:val="Cabeçalho Char"/>
    <w:basedOn w:val="Fontepargpadro"/>
    <w:link w:val="Cabealho"/>
    <w:uiPriority w:val="99"/>
    <w:rsid w:val="00B3544F"/>
    <w:rPr>
      <w:lang w:val="en-US"/>
    </w:rPr>
  </w:style>
  <w:style w:type="paragraph" w:styleId="Rodap">
    <w:name w:val="footer"/>
    <w:basedOn w:val="Normal"/>
    <w:link w:val="RodapChar"/>
    <w:uiPriority w:val="99"/>
    <w:unhideWhenUsed/>
    <w:rsid w:val="00B3544F"/>
    <w:pPr>
      <w:tabs>
        <w:tab w:val="center" w:pos="4513"/>
        <w:tab w:val="right" w:pos="9026"/>
      </w:tabs>
      <w:spacing w:after="0" w:line="240" w:lineRule="auto"/>
    </w:pPr>
    <w:rPr>
      <w:lang w:val="en-US"/>
    </w:rPr>
  </w:style>
  <w:style w:type="character" w:customStyle="1" w:styleId="RodapChar">
    <w:name w:val="Rodapé Char"/>
    <w:basedOn w:val="Fontepargpadro"/>
    <w:link w:val="Rodap"/>
    <w:uiPriority w:val="99"/>
    <w:rsid w:val="00B3544F"/>
    <w:rPr>
      <w:lang w:val="en-US"/>
    </w:rPr>
  </w:style>
  <w:style w:type="paragraph" w:styleId="PargrafodaLista">
    <w:name w:val="List Paragraph"/>
    <w:basedOn w:val="Normal"/>
    <w:uiPriority w:val="34"/>
    <w:qFormat/>
    <w:rsid w:val="00B3544F"/>
    <w:pPr>
      <w:ind w:left="720"/>
      <w:contextualSpacing/>
    </w:pPr>
  </w:style>
  <w:style w:type="character" w:styleId="Refdecomentrio">
    <w:name w:val="annotation reference"/>
    <w:basedOn w:val="Fontepargpadro"/>
    <w:uiPriority w:val="99"/>
    <w:semiHidden/>
    <w:unhideWhenUsed/>
    <w:rsid w:val="00EA4C6F"/>
    <w:rPr>
      <w:sz w:val="16"/>
      <w:szCs w:val="16"/>
    </w:rPr>
  </w:style>
  <w:style w:type="paragraph" w:styleId="Textodecomentrio">
    <w:name w:val="annotation text"/>
    <w:basedOn w:val="Normal"/>
    <w:link w:val="TextodecomentrioChar"/>
    <w:uiPriority w:val="99"/>
    <w:semiHidden/>
    <w:unhideWhenUsed/>
    <w:rsid w:val="00EA4C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A4C6F"/>
    <w:rPr>
      <w:sz w:val="20"/>
      <w:szCs w:val="20"/>
      <w:lang w:val="es-ES"/>
    </w:rPr>
  </w:style>
  <w:style w:type="paragraph" w:styleId="Assuntodocomentrio">
    <w:name w:val="annotation subject"/>
    <w:basedOn w:val="Textodecomentrio"/>
    <w:next w:val="Textodecomentrio"/>
    <w:link w:val="AssuntodocomentrioChar"/>
    <w:uiPriority w:val="99"/>
    <w:semiHidden/>
    <w:unhideWhenUsed/>
    <w:rsid w:val="00EA4C6F"/>
    <w:rPr>
      <w:b/>
      <w:bCs/>
    </w:rPr>
  </w:style>
  <w:style w:type="character" w:customStyle="1" w:styleId="AssuntodocomentrioChar">
    <w:name w:val="Assunto do comentário Char"/>
    <w:basedOn w:val="TextodecomentrioChar"/>
    <w:link w:val="Assuntodocomentrio"/>
    <w:uiPriority w:val="99"/>
    <w:semiHidden/>
    <w:rsid w:val="00EA4C6F"/>
    <w:rPr>
      <w:b/>
      <w:bCs/>
      <w:sz w:val="20"/>
      <w:szCs w:val="20"/>
      <w:lang w:val="es-ES"/>
    </w:rPr>
  </w:style>
  <w:style w:type="paragraph" w:styleId="Textodebalo">
    <w:name w:val="Balloon Text"/>
    <w:basedOn w:val="Normal"/>
    <w:link w:val="TextodebaloChar"/>
    <w:uiPriority w:val="99"/>
    <w:semiHidden/>
    <w:unhideWhenUsed/>
    <w:rsid w:val="00EA4C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A4C6F"/>
    <w:rPr>
      <w:rFonts w:ascii="Segoe UI" w:hAnsi="Segoe UI" w:cs="Segoe UI"/>
      <w:sz w:val="18"/>
      <w:szCs w:val="18"/>
      <w:lang w:val="es-ES"/>
    </w:rPr>
  </w:style>
  <w:style w:type="character" w:styleId="CdigoHTML">
    <w:name w:val="HTML Code"/>
    <w:basedOn w:val="Fontepargpadro"/>
    <w:uiPriority w:val="99"/>
    <w:semiHidden/>
    <w:unhideWhenUsed/>
    <w:rsid w:val="00F93F6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2CAF6-45DC-4331-9B03-255D0307F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2648</Words>
  <Characters>14304</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Bezerra Soares</dc:creator>
  <cp:keywords/>
  <dc:description/>
  <cp:lastModifiedBy>VERDSON FERREIRA</cp:lastModifiedBy>
  <cp:revision>5</cp:revision>
  <dcterms:created xsi:type="dcterms:W3CDTF">2026-09-06T21:19:00Z</dcterms:created>
  <dcterms:modified xsi:type="dcterms:W3CDTF">2026-09-07T19:35:00Z</dcterms:modified>
</cp:coreProperties>
</file>